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</w:pPr>
      <w:bookmarkStart w:id="0" w:name="_GoBack"/>
      <w:bookmarkEnd w:id="0"/>
    </w:p>
    <w:p>
      <w:pPr>
        <w:spacing w:before="114" w:line="224" w:lineRule="auto"/>
        <w:jc w:val="center"/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上海申江医学科技发展基金会关联方管理制度</w:t>
      </w:r>
    </w:p>
    <w:p/>
    <w:p/>
    <w:p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为了正确完整识别关联方及关联交易，规范上海申江医学科技发展基金会(以下简称基金会)的关联交易，保证关联交易的公允性，根据《民间非营利组织会计制度》、《基金会管理条例》等法律、法规和《上海申江医学科技发展基金会章程》等相关制度，结合基金会实际情况，制定本制度。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基金会的关联交易应当遵循以下基本原则：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符合诚实信用的原则；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符合公平、公开、公允原则；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(三) 关联方如享有理事会表决权，除特殊情况外，应当回避表决；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(四) 与关联方有任何利害关系的理事，在理事会就该事项进行表决时应当回避；</w:t>
      </w:r>
    </w:p>
    <w:p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(五) 理事会应当根据客观条件判断该关联交易是否对基金会有利，必要时可聘请专业评估师或独立财务顾问。</w:t>
      </w:r>
    </w:p>
    <w:p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理事会对关联交易履行决策职责；秘书处负责执行理事会制定的关联交易战略、规章制度及其他有关决议，且定期披露关联方和关联方交易信息。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关联方及关联方交易的确认：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一方控制、共同控制另一方或另一方施加重大影响，以及两方或两方以上受同一方控制、共同控制或重大影响的，构成关联方。</w:t>
      </w:r>
    </w:p>
    <w:p>
      <w:pPr>
        <w:spacing w:before="120" w:beforeLines="50" w:line="360" w:lineRule="auto"/>
        <w:ind w:left="420" w:firstLine="420"/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关联方交易，是指关联方之间转移资源、劳务或义务的行为，而不论是否收取价款。</w:t>
      </w:r>
    </w:p>
    <w:p>
      <w:pPr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关联方交易经秘书处报理事会审批，审批通过后方可执行该项交易。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关联方和关联交易应在财务报告和年检报告中进行披露。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应当披露的关联方包括但不限于下列单位或个人：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发起人；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理事主要来源单位 (1/5 以上理事来自该单位) 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(三) 对外投资的被投资方；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(四) 其他在实质上与基金会存在重大控制或重大影响关系的单位或个人。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应当披露的关联方交易包括但不限于下列事项：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(一) 提供或接受劳务；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(二) 提供资金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(捐赠、贷款或股权投资)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、租赁；</w:t>
      </w:r>
    </w:p>
    <w:p>
      <w:pPr>
        <w:spacing w:before="120" w:beforeLines="50" w:line="360" w:lineRule="auto"/>
        <w:ind w:left="420" w:firstLine="420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(三) 代表民间非营利组织或由民间非营利组织代表另一方进行债务结算，以及关键管理人员薪酬等。</w:t>
      </w:r>
    </w:p>
    <w:p>
      <w:pPr>
        <w:spacing w:line="360" w:lineRule="auto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本制度未尽事宜，依据《基金会管理条例》和本基金会章程的规定办理。</w:t>
      </w:r>
    </w:p>
    <w:p>
      <w:pPr>
        <w:spacing w:line="360" w:lineRule="auto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本制度自第一届理事会第二次会议通过之日起执行，由理事会负责解释。</w:t>
      </w:r>
    </w:p>
    <w:p/>
    <w:p/>
    <w:p/>
    <w:p/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上海申江医学科技发展基金会 </w:t>
      </w:r>
    </w:p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2023 年 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月 </w:t>
      </w:r>
      <w:r>
        <w:rPr>
          <w:rFonts w:ascii="宋体" w:hAnsi="宋体" w:eastAsia="宋体" w:cs="宋体"/>
          <w:spacing w:val="-2"/>
          <w:sz w:val="28"/>
          <w:szCs w:val="28"/>
        </w:rPr>
        <w:t>15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日</w:t>
      </w:r>
    </w:p>
    <w:p/>
    <w:p/>
    <w:p/>
    <w:p/>
    <w:p/>
    <w:sectPr>
      <w:headerReference r:id="rId3" w:type="default"/>
      <w:footerReference r:id="rId4" w:type="default"/>
      <w:pgSz w:w="11906" w:h="16838"/>
      <w:pgMar w:top="998" w:right="737" w:bottom="850" w:left="998" w:header="283" w:footer="283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3194050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1.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sgqG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92" w:after="0" w:afterLines="50" w:line="178" w:lineRule="auto"/>
      <w:jc w:val="center"/>
      <w:textAlignment w:val="baseline"/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28575</wp:posOffset>
          </wp:positionV>
          <wp:extent cx="640715" cy="640715"/>
          <wp:effectExtent l="0" t="0" r="6985" b="698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600000"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FF0000"/>
        <w:spacing w:val="109"/>
        <w:sz w:val="47"/>
        <w:szCs w:val="47"/>
        <w:lang w:val="en-US"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 xml:space="preserve"> </w:t>
    </w:r>
    <w:r>
      <w:rPr>
        <w:rFonts w:ascii="微软雅黑" w:hAnsi="微软雅黑" w:eastAsia="微软雅黑" w:cs="微软雅黑"/>
        <w:color w:val="FF0000"/>
        <w:spacing w:val="109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上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海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申江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医学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科技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发展基金会</w:t>
    </w:r>
  </w:p>
  <w:p>
    <w:pPr>
      <w:pBdr>
        <w:bottom w:val="thinThickMediumGap" w:color="008000" w:sz="18" w:space="0"/>
      </w:pBdr>
      <w:bidi w:val="0"/>
      <w:ind w:firstLine="1446" w:firstLineChars="600"/>
      <w:jc w:val="both"/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</w:pPr>
    <w:r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  <w:t>Shanghai Shenjiang Medical Technology Development Foundation</w:t>
    </w:r>
  </w:p>
  <w:p>
    <w:pPr>
      <w:pBdr>
        <w:bottom w:val="thinThickMediumGap" w:color="008000" w:sz="18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N2FjNjdkNjg2YjM5Y2NiMzM4NDRjYTg3MjY2NWYifQ=="/>
  </w:docVars>
  <w:rsids>
    <w:rsidRoot w:val="39AF2E16"/>
    <w:rsid w:val="00241DB5"/>
    <w:rsid w:val="00295674"/>
    <w:rsid w:val="00737E3D"/>
    <w:rsid w:val="00BF27F3"/>
    <w:rsid w:val="00C949F6"/>
    <w:rsid w:val="00FD69F0"/>
    <w:rsid w:val="0C8A67CB"/>
    <w:rsid w:val="1098179A"/>
    <w:rsid w:val="12941899"/>
    <w:rsid w:val="1EE7056B"/>
    <w:rsid w:val="2268661C"/>
    <w:rsid w:val="34592031"/>
    <w:rsid w:val="39AF2E16"/>
    <w:rsid w:val="3D466A49"/>
    <w:rsid w:val="409B0F80"/>
    <w:rsid w:val="4E516C91"/>
    <w:rsid w:val="522305F2"/>
    <w:rsid w:val="5F201599"/>
    <w:rsid w:val="668F0231"/>
    <w:rsid w:val="6FB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861</Characters>
  <Lines>6</Lines>
  <Paragraphs>1</Paragraphs>
  <TotalTime>0</TotalTime>
  <ScaleCrop>false</ScaleCrop>
  <LinksUpToDate>false</LinksUpToDate>
  <CharactersWithSpaces>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2023-06-07T07:54:00Z</dcterms:created>
  <dc:creator>Hu＿AnEi</dc:creator>
  <cp:lastModifiedBy>刘新杰</cp:lastModifiedBy>
  <dcterms:modified xsi:type="dcterms:W3CDTF">2023-06-12T12:57:25Z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F5128953B6C04EAEA1A1B926C1F5BF35_11</vt:lpwstr>
  </property>
</Properties>
</file>