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24" w:lineRule="auto"/>
        <w:jc w:val="cente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pPr>
    </w:p>
    <w:p>
      <w:pPr>
        <w:spacing w:before="114" w:line="224" w:lineRule="auto"/>
        <w:jc w:val="center"/>
        <w:rPr>
          <w:rFonts w:ascii="宋体" w:hAnsi="宋体" w:eastAsia="宋体" w:cs="宋体"/>
          <w:spacing w:val="10"/>
          <w:sz w:val="35"/>
          <w:szCs w:val="35"/>
          <w14:textOutline w14:w="6540" w14:cap="sq" w14:cmpd="sng" w14:algn="ctr">
            <w14:solidFill>
              <w14:srgbClr w14:val="000000"/>
            </w14:solidFill>
            <w14:prstDash w14:val="solid"/>
            <w14:bevel/>
          </w14:textOutline>
        </w:rPr>
      </w:pPr>
      <w: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t>上海申江医学科技发展基金会</w:t>
      </w:r>
      <w:r>
        <w:rPr>
          <w:rFonts w:ascii="宋体" w:hAnsi="宋体" w:eastAsia="宋体" w:cs="宋体"/>
          <w:spacing w:val="10"/>
          <w:sz w:val="35"/>
          <w:szCs w:val="35"/>
          <w14:textOutline w14:w="6540" w14:cap="sq" w14:cmpd="sng" w14:algn="ctr">
            <w14:solidFill>
              <w14:srgbClr w14:val="000000"/>
            </w14:solidFill>
            <w14:prstDash w14:val="solid"/>
            <w14:bevel/>
          </w14:textOutline>
        </w:rPr>
        <w:t>保值增值投资活动管理制度</w:t>
      </w:r>
    </w:p>
    <w:p/>
    <w:p/>
    <w:p>
      <w:pPr>
        <w:numPr>
          <w:ilvl w:val="0"/>
          <w:numId w:val="1"/>
        </w:numPr>
        <w:spacing w:before="91" w:line="220" w:lineRule="auto"/>
        <w:jc w:val="center"/>
        <w:rPr>
          <w:rFonts w:ascii="宋体" w:hAnsi="宋体" w:eastAsia="宋体" w:cs="宋体"/>
          <w:sz w:val="28"/>
          <w:szCs w:val="28"/>
          <w14:textOutline w14:w="5105" w14:cap="sq" w14:cmpd="sng" w14:algn="ctr">
            <w14:solidFill>
              <w14:srgbClr w14:val="000000"/>
            </w14:solidFill>
            <w14:prstDash w14:val="solid"/>
            <w14:bevel/>
          </w14:textOutline>
        </w:rPr>
      </w:pPr>
      <w:r>
        <w:rPr>
          <w:rFonts w:ascii="宋体" w:hAnsi="宋体" w:eastAsia="宋体" w:cs="宋体"/>
          <w:spacing w:val="-1"/>
          <w:sz w:val="28"/>
          <w:szCs w:val="28"/>
        </w:rPr>
        <w:t xml:space="preserve"> </w:t>
      </w:r>
      <w:r>
        <w:rPr>
          <w:rFonts w:ascii="宋体" w:hAnsi="宋体" w:eastAsia="宋体" w:cs="宋体"/>
          <w:sz w:val="28"/>
          <w:szCs w:val="28"/>
        </w:rPr>
        <w:t xml:space="preserve"> </w:t>
      </w:r>
      <w:r>
        <w:rPr>
          <w:rFonts w:ascii="宋体" w:hAnsi="宋体" w:eastAsia="宋体" w:cs="宋体"/>
          <w:sz w:val="28"/>
          <w:szCs w:val="28"/>
          <w14:textOutline w14:w="5105" w14:cap="sq" w14:cmpd="sng" w14:algn="ctr">
            <w14:solidFill>
              <w14:srgbClr w14:val="000000"/>
            </w14:solidFill>
            <w14:prstDash w14:val="solid"/>
            <w14:bevel/>
          </w14:textOutline>
        </w:rPr>
        <w:t>总</w:t>
      </w:r>
      <w:r>
        <w:rPr>
          <w:rFonts w:hint="eastAsia" w:ascii="宋体" w:hAnsi="宋体" w:eastAsia="宋体" w:cs="宋体"/>
          <w:sz w:val="28"/>
          <w:szCs w:val="28"/>
          <w14:textOutline w14:w="5105" w14:cap="sq" w14:cmpd="sng" w14:algn="ctr">
            <w14:solidFill>
              <w14:srgbClr w14:val="000000"/>
            </w14:solidFill>
            <w14:prstDash w14:val="solid"/>
            <w14:bevel/>
          </w14:textOutline>
        </w:rPr>
        <w:t xml:space="preserve"> </w:t>
      </w:r>
      <w:r>
        <w:rPr>
          <w:rFonts w:ascii="宋体" w:hAnsi="宋体" w:eastAsia="宋体" w:cs="宋体"/>
          <w:sz w:val="28"/>
          <w:szCs w:val="28"/>
          <w14:textOutline w14:w="5105" w14:cap="sq" w14:cmpd="sng" w14:algn="ctr">
            <w14:solidFill>
              <w14:srgbClr w14:val="000000"/>
            </w14:solidFill>
            <w14:prstDash w14:val="solid"/>
            <w14:bevel/>
          </w14:textOutline>
        </w:rPr>
        <w:t>则</w:t>
      </w:r>
    </w:p>
    <w:p>
      <w:pPr>
        <w:numPr>
          <w:numId w:val="0"/>
        </w:numPr>
        <w:spacing w:before="91" w:line="220" w:lineRule="auto"/>
        <w:jc w:val="both"/>
        <w:rPr>
          <w:rFonts w:ascii="宋体" w:hAnsi="宋体" w:eastAsia="宋体" w:cs="宋体"/>
          <w:sz w:val="28"/>
          <w:szCs w:val="28"/>
          <w14:textOutline w14:w="5105" w14:cap="sq" w14:cmpd="sng" w14:algn="ctr">
            <w14:solidFill>
              <w14:srgbClr w14:val="000000"/>
            </w14:solidFill>
            <w14:prstDash w14:val="solid"/>
            <w14:bevel/>
          </w14:textOutline>
        </w:rPr>
      </w:pPr>
    </w:p>
    <w:p>
      <w:pPr>
        <w:spacing w:before="120" w:beforeLines="50" w:line="360" w:lineRule="auto"/>
        <w:ind w:left="420" w:firstLine="420"/>
        <w:rPr>
          <w:rFonts w:ascii="宋体" w:hAnsi="宋体" w:eastAsia="宋体" w:cs="宋体"/>
          <w:spacing w:val="-2"/>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第一条</w:t>
      </w:r>
      <w:r>
        <w:rPr>
          <w:rFonts w:hint="eastAsia"/>
        </w:rPr>
        <w:t xml:space="preserve">   </w:t>
      </w:r>
      <w:r>
        <w:rPr>
          <w:rFonts w:hint="eastAsia" w:ascii="宋体" w:hAnsi="宋体" w:eastAsia="宋体" w:cs="宋体"/>
          <w:spacing w:val="-2"/>
          <w:sz w:val="28"/>
          <w:szCs w:val="28"/>
        </w:rPr>
        <w:t>为实现资金的保值增值，防范和化解各类资金风险，使资金更好地用于上海申江医学科技发展基金会</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(以下简称“基金会”) 章程规定的公益事业，根据《中华人民共和国慈善法》、《基金会管理条例》、《慈善组织保值增值投资活动管理暂行办法》等有关法律法规规章以及《上海申江医学科技发展基金会章程》的有关规定，结合本基金会实际，特制定本制度。</w:t>
      </w:r>
    </w:p>
    <w:p>
      <w:pPr>
        <w:spacing w:line="360" w:lineRule="auto"/>
        <w:ind w:left="420" w:firstLine="420"/>
        <w:rPr>
          <w:rFonts w:ascii="宋体" w:hAnsi="宋体" w:eastAsia="宋体" w:cs="宋体"/>
          <w:spacing w:val="-2"/>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第二条</w:t>
      </w:r>
      <w:r>
        <w:rPr>
          <w:rFonts w:hint="eastAsia"/>
        </w:rPr>
        <w:t xml:space="preserve">    </w:t>
      </w:r>
      <w:r>
        <w:rPr>
          <w:rFonts w:hint="eastAsia" w:ascii="宋体" w:hAnsi="宋体" w:eastAsia="宋体" w:cs="宋体"/>
          <w:spacing w:val="-2"/>
          <w:sz w:val="28"/>
          <w:szCs w:val="28"/>
        </w:rPr>
        <w:t>基金会的保值增值投资活动必须遵循合法性原则，严格遵守国家、地方法律法规，尊重投资的市场规律。</w:t>
      </w:r>
    </w:p>
    <w:p>
      <w:pPr>
        <w:spacing w:line="360" w:lineRule="auto"/>
        <w:ind w:left="420" w:firstLine="420"/>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第三条</w:t>
      </w:r>
      <w:r>
        <w:rPr>
          <w:rFonts w:hint="eastAsia"/>
        </w:rPr>
        <w:t xml:space="preserve">    </w:t>
      </w:r>
      <w:r>
        <w:rPr>
          <w:rFonts w:hint="eastAsia" w:ascii="宋体" w:hAnsi="宋体" w:eastAsia="宋体" w:cs="宋体"/>
          <w:spacing w:val="-2"/>
          <w:sz w:val="28"/>
          <w:szCs w:val="28"/>
        </w:rPr>
        <w:t>基金会的保值增值投资活动必须遵循安全性原则，在综合考虑政策风险、信用风险、利率风险和流动性风险的前提下，尽可能降低和规避风险。</w:t>
      </w:r>
    </w:p>
    <w:p>
      <w:pPr>
        <w:spacing w:line="360" w:lineRule="auto"/>
        <w:ind w:left="420" w:firstLine="420"/>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第四条</w:t>
      </w:r>
      <w:r>
        <w:rPr>
          <w:rFonts w:hint="eastAsia"/>
        </w:rPr>
        <w:t xml:space="preserve">    </w:t>
      </w:r>
      <w:r>
        <w:rPr>
          <w:rFonts w:hint="eastAsia" w:ascii="宋体" w:hAnsi="宋体" w:eastAsia="宋体" w:cs="宋体"/>
          <w:sz w:val="28"/>
          <w:szCs w:val="28"/>
        </w:rPr>
        <w:t>基金会的保值增值投资活动必须遵循有效性原则，在合法、安全的前提下，实现资金运作收益的最优化，促进慈善事业持续健康发展。</w:t>
      </w:r>
    </w:p>
    <w:p>
      <w:pPr>
        <w:spacing w:line="360" w:lineRule="auto"/>
        <w:ind w:left="420" w:firstLine="420"/>
        <w:rPr>
          <w:rFonts w:ascii="宋体" w:hAnsi="宋体" w:eastAsia="宋体" w:cs="宋体"/>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第五条</w:t>
      </w:r>
      <w:r>
        <w:rPr>
          <w:rFonts w:hint="eastAsia"/>
        </w:rPr>
        <w:t xml:space="preserve">    </w:t>
      </w:r>
      <w:r>
        <w:rPr>
          <w:rFonts w:hint="eastAsia" w:ascii="宋体" w:hAnsi="宋体" w:eastAsia="宋体" w:cs="宋体"/>
          <w:sz w:val="28"/>
          <w:szCs w:val="28"/>
        </w:rPr>
        <w:t>基金会的保值增值投资活动必须符合基金会的宗旨，维护基金会的信誉，基金会应尊重捐赠人意愿(按照捐赠协议约定)进行增值保值投资活动。保持资金的流动性，保证公益支出的有效实现。</w:t>
      </w:r>
    </w:p>
    <w:p/>
    <w:p>
      <w:pPr>
        <w:numPr>
          <w:ilvl w:val="0"/>
          <w:numId w:val="2"/>
        </w:numPr>
        <w:spacing w:before="91" w:line="220" w:lineRule="auto"/>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  保值增值投资活动组织机构与职责</w:t>
      </w:r>
    </w:p>
    <w:p>
      <w:pPr>
        <w:numPr>
          <w:numId w:val="0"/>
        </w:numPr>
        <w:spacing w:before="91" w:line="220" w:lineRule="auto"/>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第六条</w:t>
      </w:r>
      <w:r>
        <w:rPr>
          <w:rFonts w:hint="eastAsia"/>
        </w:rPr>
        <w:t xml:space="preserve">    </w:t>
      </w:r>
      <w:r>
        <w:rPr>
          <w:rFonts w:hint="eastAsia" w:ascii="宋体" w:hAnsi="宋体" w:eastAsia="宋体" w:cs="宋体"/>
          <w:sz w:val="28"/>
          <w:szCs w:val="28"/>
        </w:rPr>
        <w:t>理事会作为基金会的最高权力机构，拥有基金会保值增值投资活动的最终决策和监管的权力。主要行使以下职能：</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(一) 每年召开理事会，听取并审议本年度的投资报告，审核并决定下一年度保值增值投资活动计划，包括保值增值投资活动金额、保值增值投资活动对象和保值增值投资活动结构等；</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(二) 审核并决定当年保值增值投资活动计划的调整；</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(三) 审核批准保值增值投资活动管理办法；</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(四) 决定其他重大保值增值投资活动事项。</w:t>
      </w:r>
    </w:p>
    <w:p>
      <w:pPr>
        <w:spacing w:line="360" w:lineRule="auto"/>
        <w:ind w:left="420" w:firstLine="420"/>
        <w:rPr>
          <w:rFonts w:ascii="宋体" w:hAnsi="宋体" w:eastAsia="宋体" w:cs="宋体"/>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第七条</w:t>
      </w:r>
      <w:r>
        <w:rPr>
          <w:rFonts w:hint="eastAsia"/>
        </w:rPr>
        <w:t xml:space="preserve">    </w:t>
      </w:r>
      <w:r>
        <w:rPr>
          <w:rFonts w:hint="eastAsia" w:ascii="宋体" w:hAnsi="宋体" w:eastAsia="宋体" w:cs="宋体"/>
          <w:sz w:val="28"/>
          <w:szCs w:val="28"/>
        </w:rPr>
        <w:t>建立健全规范的保值增值投资活动议事规则，保值增值投资活动计划必须经过理事会决策同意方可执行。</w:t>
      </w:r>
    </w:p>
    <w:p>
      <w:pPr>
        <w:spacing w:line="360" w:lineRule="auto"/>
        <w:ind w:left="420" w:firstLine="420"/>
        <w:rPr>
          <w:rFonts w:ascii="宋体" w:hAnsi="宋体" w:eastAsia="宋体" w:cs="宋体"/>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第八条</w:t>
      </w:r>
      <w:r>
        <w:rPr>
          <w:rFonts w:hint="eastAsia" w:ascii="宋体" w:hAnsi="宋体" w:eastAsia="宋体" w:cs="宋体"/>
          <w:sz w:val="28"/>
          <w:szCs w:val="28"/>
        </w:rPr>
        <w:t xml:space="preserve">   监事会负责对保值增值投资活动进行跟踪了解和监督，并向理事会报告保值增值投资活动情况。</w:t>
      </w:r>
    </w:p>
    <w:p/>
    <w:p>
      <w:pPr>
        <w:numPr>
          <w:ilvl w:val="0"/>
          <w:numId w:val="2"/>
        </w:numPr>
        <w:spacing w:before="91" w:line="220" w:lineRule="auto"/>
        <w:ind w:left="0" w:leftChars="0" w:firstLine="0" w:firstLineChars="0"/>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   保值增值投资活动的资金来源</w:t>
      </w:r>
    </w:p>
    <w:p>
      <w:pPr>
        <w:numPr>
          <w:numId w:val="0"/>
        </w:numPr>
        <w:spacing w:before="91" w:line="220" w:lineRule="auto"/>
        <w:ind w:leftChars="0"/>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第九条</w:t>
      </w:r>
      <w:r>
        <w:rPr>
          <w:rFonts w:hint="eastAsia" w:ascii="宋体" w:hAnsi="宋体" w:eastAsia="宋体" w:cs="宋体"/>
          <w:sz w:val="28"/>
          <w:szCs w:val="28"/>
        </w:rPr>
        <w:t xml:space="preserve">   基金会可以用于保值增值投资活动的财产限于非限定性资产和在投资期间暂不需要拨付的限定性资产。</w:t>
      </w:r>
    </w:p>
    <w:p>
      <w:pPr>
        <w:spacing w:line="360" w:lineRule="auto"/>
        <w:ind w:left="420" w:firstLine="420"/>
        <w:rPr>
          <w:rFonts w:ascii="宋体" w:hAnsi="宋体" w:eastAsia="宋体" w:cs="宋体"/>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第十条</w:t>
      </w:r>
      <w:r>
        <w:rPr>
          <w:rFonts w:hint="eastAsia" w:ascii="宋体" w:hAnsi="宋体" w:eastAsia="宋体" w:cs="宋体"/>
          <w:sz w:val="28"/>
          <w:szCs w:val="28"/>
        </w:rPr>
        <w:t xml:space="preserve">   基金会必须持有充足的现金、银行存款和货币市场基金等流动性较高的资产，确保待拨付捐赠资金按捐赠协议的约定及时、足额划拨。</w:t>
      </w:r>
    </w:p>
    <w:p/>
    <w:p>
      <w:pPr>
        <w:numPr>
          <w:ilvl w:val="0"/>
          <w:numId w:val="2"/>
        </w:numPr>
        <w:spacing w:before="91" w:line="220" w:lineRule="auto"/>
        <w:ind w:left="0" w:leftChars="0" w:firstLine="0" w:firstLineChars="0"/>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  保值增值投资活动的范围和条件及标准</w:t>
      </w:r>
    </w:p>
    <w:p>
      <w:pPr>
        <w:numPr>
          <w:numId w:val="0"/>
        </w:numPr>
        <w:spacing w:before="91" w:line="220" w:lineRule="auto"/>
        <w:ind w:leftChars="0"/>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第十一条</w:t>
      </w:r>
      <w:r>
        <w:rPr>
          <w:rFonts w:hint="eastAsia" w:ascii="宋体" w:hAnsi="宋体" w:eastAsia="宋体" w:cs="宋体"/>
          <w:sz w:val="28"/>
          <w:szCs w:val="28"/>
        </w:rPr>
        <w:t xml:space="preserve">   基金会保值增值投资活动范围及标准包括：</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(一) 流动资金保值增值投资活动范围</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1 、银行存款；</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2 、低风险的货币市场类或固定收益类金融产品，包括：保本型不定期或一年以内短期银行理财产品等，由财务部根据实际情况对暂不需要支付的资金进行短期理财。</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(二)基金会非限定性资产和在投资期间暂不需要拨付的限定性资产。</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1 、直接购买银行、信托、证券、基金、期货、保险资产管理机构、金融资产投资公司等金融机构发行的资产管理产品；</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2 、通过发起设立、并购、参股等方式直接进行股权投资；</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3 、将财产委托给受金融监督管理部门监管的机构进行投资。</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(三) 重大保值增值投资活动标准按照章程规定施行。</w:t>
      </w:r>
    </w:p>
    <w:p>
      <w:pPr>
        <w:spacing w:line="360" w:lineRule="auto"/>
        <w:ind w:left="420" w:firstLine="420"/>
        <w:rPr>
          <w:rFonts w:ascii="宋体" w:hAnsi="宋体" w:eastAsia="宋体" w:cs="宋体"/>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第十二条</w:t>
      </w:r>
      <w:r>
        <w:rPr>
          <w:rFonts w:hint="eastAsia"/>
        </w:rPr>
        <w:t xml:space="preserve">    </w:t>
      </w:r>
      <w:r>
        <w:rPr>
          <w:rFonts w:hint="eastAsia" w:ascii="宋体" w:hAnsi="宋体" w:eastAsia="宋体" w:cs="宋体"/>
          <w:sz w:val="28"/>
          <w:szCs w:val="28"/>
        </w:rPr>
        <w:t>基金会的保值增值投资活动禁止以下行为：</w:t>
      </w:r>
    </w:p>
    <w:p>
      <w:pPr>
        <w:spacing w:line="360" w:lineRule="auto"/>
        <w:ind w:left="420" w:leftChars="0" w:firstLine="420" w:firstLineChars="0"/>
        <w:rPr>
          <w:rFonts w:ascii="宋体" w:hAnsi="宋体" w:eastAsia="宋体" w:cs="宋体"/>
          <w:sz w:val="28"/>
          <w:szCs w:val="28"/>
        </w:rPr>
      </w:pPr>
      <w:r>
        <w:rPr>
          <w:rFonts w:hint="eastAsia" w:ascii="宋体" w:hAnsi="宋体" w:eastAsia="宋体" w:cs="宋体"/>
          <w:sz w:val="28"/>
          <w:szCs w:val="28"/>
        </w:rPr>
        <w:t>(一) 直接买卖股票；</w:t>
      </w:r>
    </w:p>
    <w:p>
      <w:pPr>
        <w:spacing w:line="360" w:lineRule="auto"/>
        <w:ind w:left="420" w:leftChars="0" w:firstLine="420" w:firstLineChars="0"/>
        <w:rPr>
          <w:rFonts w:ascii="宋体" w:hAnsi="宋体" w:eastAsia="宋体" w:cs="宋体"/>
          <w:sz w:val="28"/>
          <w:szCs w:val="28"/>
        </w:rPr>
      </w:pPr>
      <w:r>
        <w:rPr>
          <w:rFonts w:hint="eastAsia" w:ascii="宋体" w:hAnsi="宋体" w:eastAsia="宋体" w:cs="宋体"/>
          <w:sz w:val="28"/>
          <w:szCs w:val="28"/>
        </w:rPr>
        <w:t>(二) 直接购买商品及金融衍生品类产品；</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(三) 投资人身保险产品；</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(四) 不符合国家产业政策的投资；</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(五) 可能使基金会承担无限责任的投资；</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(六) 违背基金会宗旨、可能损害信誉的投资；</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(七) 非法集资等国家法律法规禁止的其他活动。</w:t>
      </w:r>
    </w:p>
    <w:p>
      <w:pPr>
        <w:spacing w:line="360" w:lineRule="auto"/>
        <w:ind w:left="420" w:firstLine="420"/>
        <w:rPr>
          <w:rFonts w:ascii="宋体" w:hAnsi="宋体" w:eastAsia="宋体" w:cs="宋体"/>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第十三条</w:t>
      </w:r>
      <w:r>
        <w:rPr>
          <w:rFonts w:hint="eastAsia"/>
        </w:rPr>
        <w:t xml:space="preserve">    </w:t>
      </w:r>
      <w:r>
        <w:rPr>
          <w:rFonts w:hint="eastAsia" w:ascii="宋体" w:hAnsi="宋体" w:eastAsia="宋体" w:cs="宋体"/>
          <w:sz w:val="28"/>
          <w:szCs w:val="28"/>
        </w:rPr>
        <w:t>基金会在投资资产管理产品时，应当审慎选择，购买与本基金会风险识别能力和风险承担能力相匹配的产品。基金会直接进行股权投资的，被投资方的经营范围应当与本基金会的宗旨和业务范围相关。</w:t>
      </w:r>
    </w:p>
    <w:p>
      <w:pPr>
        <w:spacing w:line="360" w:lineRule="auto"/>
        <w:ind w:left="420" w:leftChars="200" w:firstLine="394" w:firstLineChars="145"/>
        <w:rPr>
          <w:rFonts w:ascii="宋体" w:hAnsi="宋体" w:eastAsia="宋体" w:cs="宋体"/>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第十四条</w:t>
      </w:r>
      <w:r>
        <w:rPr>
          <w:rFonts w:hint="eastAsia" w:ascii="宋体" w:hAnsi="宋体" w:eastAsia="宋体" w:cs="宋体"/>
          <w:sz w:val="28"/>
          <w:szCs w:val="28"/>
        </w:rPr>
        <w:t xml:space="preserve">   基金会开展委托投资的，应当选择中国境内有资质从事投资管理业务，且管理审慎、信誉较高的机构。</w:t>
      </w:r>
    </w:p>
    <w:p/>
    <w:p>
      <w:pPr>
        <w:numPr>
          <w:ilvl w:val="0"/>
          <w:numId w:val="2"/>
        </w:numPr>
        <w:spacing w:before="91" w:line="220" w:lineRule="auto"/>
        <w:ind w:left="0" w:leftChars="0" w:firstLine="0" w:firstLineChars="0"/>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   保值增值投资活动管理与监督</w:t>
      </w:r>
    </w:p>
    <w:p>
      <w:pPr>
        <w:numPr>
          <w:numId w:val="0"/>
        </w:numPr>
        <w:spacing w:before="91" w:line="220" w:lineRule="auto"/>
        <w:ind w:leftChars="0"/>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第十五条</w:t>
      </w: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ab/>
      </w: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 xml:space="preserve">  </w:t>
      </w:r>
      <w:r>
        <w:rPr>
          <w:rFonts w:hint="eastAsia" w:ascii="宋体" w:hAnsi="宋体" w:eastAsia="宋体" w:cs="宋体"/>
          <w:sz w:val="28"/>
          <w:szCs w:val="28"/>
        </w:rPr>
        <w:t>基金会的财务和资产管理制度以及重大投资方案应当经理事会组成人员三分之二以上同意。</w:t>
      </w:r>
    </w:p>
    <w:p>
      <w:pPr>
        <w:spacing w:line="360" w:lineRule="auto"/>
        <w:ind w:left="420" w:firstLine="420"/>
        <w:rPr>
          <w:rFonts w:ascii="宋体" w:hAnsi="宋体" w:eastAsia="宋体" w:cs="宋体"/>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 xml:space="preserve">第十六条 </w:t>
      </w:r>
      <w:r>
        <w:rPr>
          <w:rFonts w:hint="eastAsia" w:ascii="宋体" w:hAnsi="宋体" w:eastAsia="宋体" w:cs="宋体"/>
          <w:sz w:val="28"/>
          <w:szCs w:val="28"/>
        </w:rPr>
        <w:t xml:space="preserve">  基金会的发起人、主要捐赠人、负责人、理事、理事来源单位以及其他与本基金会之间存在控制、共同控制或者重大影响关系的个人或者组织，当其利益与本基金会投资行为关联时，不得利用关联关系损害基金会利益。</w:t>
      </w:r>
    </w:p>
    <w:p>
      <w:pPr>
        <w:spacing w:line="360" w:lineRule="auto"/>
        <w:ind w:left="420" w:firstLine="420"/>
        <w:rPr>
          <w:rFonts w:ascii="宋体" w:hAnsi="宋体" w:eastAsia="宋体" w:cs="宋体"/>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第十七条</w:t>
      </w:r>
      <w:r>
        <w:rPr>
          <w:rFonts w:hint="eastAsia" w:ascii="宋体" w:hAnsi="宋体" w:eastAsia="宋体" w:cs="宋体"/>
          <w:sz w:val="28"/>
          <w:szCs w:val="28"/>
        </w:rPr>
        <w:t xml:space="preserve">   基金会应当及时回收到期的本金和收益，依法依规及时进行会计核算。</w:t>
      </w:r>
    </w:p>
    <w:p>
      <w:pPr>
        <w:spacing w:line="360" w:lineRule="auto"/>
        <w:ind w:left="420" w:firstLine="420"/>
        <w:rPr>
          <w:rFonts w:ascii="宋体" w:hAnsi="宋体" w:eastAsia="宋体" w:cs="宋体"/>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第十八条</w:t>
      </w:r>
      <w:r>
        <w:rPr>
          <w:rFonts w:hint="eastAsia" w:ascii="宋体" w:hAnsi="宋体" w:eastAsia="宋体" w:cs="宋体"/>
          <w:sz w:val="28"/>
          <w:szCs w:val="28"/>
        </w:rPr>
        <w:t xml:space="preserve">   基金会应当为保值增值投资活动建立专项档案，完整保存投资的决策、执行、管理等资料。专项档案的保存时间不少于20年。 </w:t>
      </w:r>
    </w:p>
    <w:p>
      <w:pPr>
        <w:spacing w:line="360" w:lineRule="auto"/>
        <w:ind w:left="420" w:firstLine="420"/>
        <w:rPr>
          <w:rFonts w:ascii="宋体" w:hAnsi="宋体" w:eastAsia="宋体" w:cs="宋体"/>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第十九条</w:t>
      </w:r>
      <w:r>
        <w:rPr>
          <w:rFonts w:hint="eastAsia" w:ascii="宋体" w:hAnsi="宋体" w:eastAsia="宋体" w:cs="宋体"/>
          <w:sz w:val="28"/>
          <w:szCs w:val="28"/>
        </w:rPr>
        <w:t xml:space="preserve">   基金会保值增值投资活动及信息公开应按有关法律法规规定予以公布，并接受社会监督。</w:t>
      </w:r>
    </w:p>
    <w:p>
      <w:pPr>
        <w:spacing w:line="360" w:lineRule="auto"/>
        <w:ind w:left="420" w:firstLine="420"/>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第二十条</w:t>
      </w:r>
      <w:r>
        <w:rPr>
          <w:rFonts w:hint="eastAsia" w:ascii="宋体" w:hAnsi="宋体" w:eastAsia="宋体" w:cs="宋体"/>
          <w:sz w:val="28"/>
          <w:szCs w:val="28"/>
        </w:rPr>
        <w:t xml:space="preserve">   基金会的保值增值投资活动必须严格防范风险，最大限度确保资金安全。</w:t>
      </w:r>
    </w:p>
    <w:p>
      <w:pPr>
        <w:numPr>
          <w:ilvl w:val="0"/>
          <w:numId w:val="2"/>
        </w:numPr>
        <w:spacing w:before="91" w:line="220" w:lineRule="auto"/>
        <w:ind w:left="0" w:leftChars="0" w:firstLine="0" w:firstLineChars="0"/>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   重大投资标准</w:t>
      </w:r>
    </w:p>
    <w:p>
      <w:pPr>
        <w:numPr>
          <w:numId w:val="0"/>
        </w:numPr>
        <w:spacing w:before="91" w:line="220" w:lineRule="auto"/>
        <w:ind w:leftChars="0"/>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第二十一条</w:t>
      </w:r>
      <w:r>
        <w:rPr>
          <w:rFonts w:hint="eastAsia"/>
        </w:rPr>
        <w:t xml:space="preserve">    </w:t>
      </w:r>
      <w:r>
        <w:rPr>
          <w:rFonts w:hint="eastAsia" w:ascii="宋体" w:hAnsi="宋体" w:eastAsia="宋体" w:cs="宋体"/>
          <w:sz w:val="28"/>
          <w:szCs w:val="28"/>
        </w:rPr>
        <w:t>本办法所称重大投资，是指一次性投资15万元人民币及以上的投资活动及理事会认为其他重大的投资。</w:t>
      </w:r>
    </w:p>
    <w:p/>
    <w:p>
      <w:pPr>
        <w:numPr>
          <w:ilvl w:val="0"/>
          <w:numId w:val="2"/>
        </w:numPr>
        <w:spacing w:before="91" w:line="220" w:lineRule="auto"/>
        <w:ind w:left="0" w:leftChars="0" w:firstLine="0" w:firstLineChars="0"/>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   投资风险控制及止损机制</w:t>
      </w:r>
    </w:p>
    <w:p>
      <w:pPr>
        <w:numPr>
          <w:numId w:val="0"/>
        </w:numPr>
        <w:spacing w:before="91" w:line="220" w:lineRule="auto"/>
        <w:ind w:leftChars="0"/>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p>
    <w:p>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第二十二条</w:t>
      </w:r>
      <w:r>
        <w:rPr>
          <w:rFonts w:hint="eastAsia"/>
        </w:rPr>
        <w:t xml:space="preserve">    </w:t>
      </w:r>
      <w:r>
        <w:rPr>
          <w:rFonts w:hint="eastAsia" w:ascii="宋体" w:hAnsi="宋体" w:eastAsia="宋体" w:cs="宋体"/>
          <w:sz w:val="28"/>
          <w:szCs w:val="28"/>
        </w:rPr>
        <w:t>秘书处跟踪投资的进展及安全状况，出现异常情况时应及时报告理事会和监事会，以便理事会尽快做出决定，避免或减少损失。正常情况下需每半年向理事会综合汇报一次。</w:t>
      </w:r>
    </w:p>
    <w:p>
      <w:pPr>
        <w:spacing w:line="360" w:lineRule="auto"/>
        <w:ind w:left="420" w:firstLine="420"/>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第二十三条</w:t>
      </w:r>
      <w:r>
        <w:rPr>
          <w:rFonts w:hint="eastAsia"/>
        </w:rPr>
        <w:t xml:space="preserve">   </w:t>
      </w:r>
      <w:r>
        <w:rPr>
          <w:rFonts w:hint="eastAsia" w:ascii="宋体" w:hAnsi="宋体" w:eastAsia="宋体" w:cs="宋体"/>
          <w:sz w:val="28"/>
          <w:szCs w:val="28"/>
        </w:rPr>
        <w:t xml:space="preserve"> 基金会建立投资止损机制。基金会单项投资行为发生亏损达到投入额 5%-20%</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(50万以下的20％，50万-200万的10％，200万以上的5％)，秘书长办公会议应当及时进行止损，收回、变现等方式。属于重大投资行为的，应当及时向理事会汇报，提出止损意见，提交理事会决策。</w:t>
      </w:r>
    </w:p>
    <w:p>
      <w:pPr>
        <w:spacing w:line="360" w:lineRule="auto"/>
        <w:ind w:left="420" w:firstLine="420"/>
        <w:rPr>
          <w:rFonts w:ascii="宋体" w:hAnsi="宋体" w:eastAsia="宋体" w:cs="宋体"/>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第二十四条</w:t>
      </w:r>
      <w:r>
        <w:rPr>
          <w:rFonts w:hint="eastAsia"/>
        </w:rPr>
        <w:t xml:space="preserve">    </w:t>
      </w:r>
      <w:r>
        <w:rPr>
          <w:rFonts w:hint="eastAsia" w:ascii="宋体" w:hAnsi="宋体" w:eastAsia="宋体" w:cs="宋体"/>
          <w:sz w:val="28"/>
          <w:szCs w:val="28"/>
        </w:rPr>
        <w:t>投资行为出现以下行为之一的，投资活动终止：</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(一) 投资项目期限届满的；</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(二) 投资项目亏损达到本金5%-20%的；</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(三) 投资项目可能会影响基金会宗旨和声誉的；</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(四) 委托第三方投资公司主体资格灭失或者被司法机关追究刑事责任的；</w:t>
      </w:r>
    </w:p>
    <w:p>
      <w:pPr>
        <w:spacing w:line="360" w:lineRule="auto"/>
        <w:ind w:left="420" w:firstLine="420"/>
        <w:rPr>
          <w:rFonts w:ascii="宋体" w:hAnsi="宋体" w:eastAsia="宋体" w:cs="宋体"/>
          <w:sz w:val="28"/>
          <w:szCs w:val="28"/>
        </w:rPr>
      </w:pPr>
      <w:r>
        <w:rPr>
          <w:rFonts w:hint="eastAsia" w:ascii="宋体" w:hAnsi="宋体" w:eastAsia="宋体" w:cs="宋体"/>
          <w:sz w:val="28"/>
          <w:szCs w:val="28"/>
        </w:rPr>
        <w:t>(五) 理事会认为应当终止的；</w:t>
      </w:r>
    </w:p>
    <w:p>
      <w:pPr>
        <w:spacing w:line="360" w:lineRule="auto"/>
        <w:ind w:left="420" w:firstLine="420"/>
      </w:pPr>
      <w:r>
        <w:rPr>
          <w:rFonts w:hint="eastAsia" w:ascii="宋体" w:hAnsi="宋体" w:eastAsia="宋体" w:cs="宋体"/>
          <w:sz w:val="28"/>
          <w:szCs w:val="28"/>
        </w:rPr>
        <w:t>(六) 其他应当终止的情形发生的。</w:t>
      </w:r>
    </w:p>
    <w:p/>
    <w:p>
      <w:pPr>
        <w:spacing w:before="91" w:line="22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第八章    违规投资责任追究</w:t>
      </w:r>
    </w:p>
    <w:p>
      <w:pPr>
        <w:spacing w:before="120" w:beforeLines="50" w:line="360" w:lineRule="auto"/>
        <w:ind w:left="420" w:firstLine="420"/>
        <w:rPr>
          <w:rFonts w:ascii="宋体" w:hAnsi="宋体" w:eastAsia="宋体" w:cs="宋体"/>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第二十五条</w:t>
      </w:r>
      <w:r>
        <w:rPr>
          <w:rFonts w:hint="eastAsia"/>
        </w:rPr>
        <w:t xml:space="preserve">    </w:t>
      </w:r>
      <w:r>
        <w:rPr>
          <w:rFonts w:hint="eastAsia" w:ascii="宋体" w:hAnsi="宋体" w:eastAsia="宋体" w:cs="宋体"/>
          <w:sz w:val="28"/>
          <w:szCs w:val="28"/>
        </w:rPr>
        <w:t>基金会投资行为实体和程序上都合法合规的，基金会理事、秘书处等尽到了忠实、勤勉、谨慎义务，由于不可抗力和市场不可预见原因导致投资亏损的，并且尽到了止损义务的，相关人员无需承担赔偿责任。</w:t>
      </w:r>
    </w:p>
    <w:p>
      <w:pPr>
        <w:spacing w:line="360" w:lineRule="auto"/>
        <w:ind w:left="420" w:firstLine="420"/>
        <w:rPr>
          <w:rFonts w:ascii="宋体" w:hAnsi="宋体" w:eastAsia="宋体" w:cs="宋体"/>
          <w:sz w:val="28"/>
          <w:szCs w:val="28"/>
        </w:rPr>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第二十六条</w:t>
      </w:r>
      <w:r>
        <w:rPr>
          <w:rFonts w:hint="eastAsia"/>
        </w:rPr>
        <w:t xml:space="preserve">    </w:t>
      </w:r>
      <w:r>
        <w:rPr>
          <w:rFonts w:hint="eastAsia" w:ascii="宋体" w:hAnsi="宋体" w:eastAsia="宋体" w:cs="宋体"/>
          <w:sz w:val="28"/>
          <w:szCs w:val="28"/>
        </w:rPr>
        <w:t>基金会在开展投资活动时有违法违规行为，致使慈善组织财产损失的，相关人员应当承担相应责任。</w:t>
      </w:r>
    </w:p>
    <w:p/>
    <w:p>
      <w:pPr>
        <w:numPr>
          <w:ilvl w:val="0"/>
          <w:numId w:val="2"/>
        </w:numPr>
        <w:spacing w:before="91" w:line="220" w:lineRule="auto"/>
        <w:ind w:left="0" w:leftChars="0" w:firstLine="0" w:firstLineChars="0"/>
        <w:jc w:val="center"/>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 xml:space="preserve">   附 则</w:t>
      </w:r>
    </w:p>
    <w:p>
      <w:pPr>
        <w:numPr>
          <w:numId w:val="0"/>
        </w:numPr>
        <w:spacing w:before="91" w:line="220" w:lineRule="auto"/>
        <w:ind w:leftChars="0"/>
        <w:jc w:val="both"/>
        <w:rPr>
          <w:rFonts w:hint="eastAsia" w:ascii="宋体" w:hAnsi="宋体" w:eastAsia="宋体" w:cs="宋体"/>
          <w:spacing w:val="-1"/>
          <w:sz w:val="28"/>
          <w:szCs w:val="28"/>
          <w14:textOutline w14:w="5105" w14:cap="sq" w14:cmpd="sng" w14:algn="ctr">
            <w14:solidFill>
              <w14:srgbClr w14:val="000000"/>
            </w14:solidFill>
            <w14:prstDash w14:val="solid"/>
            <w14:bevel/>
          </w14:textOutline>
        </w:rPr>
      </w:pPr>
      <w:bookmarkStart w:id="0" w:name="_GoBack"/>
      <w:bookmarkEnd w:id="0"/>
    </w:p>
    <w:p>
      <w:pPr>
        <w:spacing w:before="120" w:beforeLines="50" w:line="360" w:lineRule="auto"/>
        <w:ind w:left="420" w:firstLine="420"/>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第二十七条</w:t>
      </w:r>
      <w:r>
        <w:rPr>
          <w:rFonts w:hint="eastAsia"/>
        </w:rPr>
        <w:t xml:space="preserve">    </w:t>
      </w:r>
      <w:r>
        <w:rPr>
          <w:rFonts w:hint="eastAsia" w:ascii="宋体" w:hAnsi="宋体" w:eastAsia="宋体" w:cs="宋体"/>
          <w:sz w:val="28"/>
          <w:szCs w:val="28"/>
        </w:rPr>
        <w:t>本制度未尽事宜，依据《基金会管理条例》和本基金会章程的规定办理</w:t>
      </w:r>
      <w:r>
        <w:rPr>
          <w:rFonts w:hint="eastAsia"/>
        </w:rPr>
        <w:t>。</w:t>
      </w:r>
    </w:p>
    <w:p>
      <w:pPr>
        <w:spacing w:line="360" w:lineRule="auto"/>
        <w:ind w:left="420" w:firstLine="420"/>
      </w:pPr>
      <w:r>
        <w:rPr>
          <w:rFonts w:hint="eastAsia" w:ascii="宋体" w:hAnsi="宋体" w:eastAsia="宋体" w:cs="宋体"/>
          <w:spacing w:val="-4"/>
          <w:sz w:val="28"/>
          <w:szCs w:val="28"/>
          <w14:textOutline w14:w="5105" w14:cap="sq" w14:cmpd="sng" w14:algn="ctr">
            <w14:solidFill>
              <w14:srgbClr w14:val="000000"/>
            </w14:solidFill>
            <w14:prstDash w14:val="solid"/>
            <w14:bevel/>
          </w14:textOutline>
        </w:rPr>
        <w:t>第二十八条</w:t>
      </w:r>
      <w:r>
        <w:rPr>
          <w:rFonts w:hint="eastAsia"/>
        </w:rPr>
        <w:t xml:space="preserve">    </w:t>
      </w:r>
      <w:r>
        <w:rPr>
          <w:rFonts w:hint="eastAsia" w:ascii="宋体" w:hAnsi="宋体" w:eastAsia="宋体" w:cs="宋体"/>
          <w:sz w:val="28"/>
          <w:szCs w:val="28"/>
        </w:rPr>
        <w:t>本制度自第一届理事会第二次会议通过之日起执行，由理事会负责解释。</w:t>
      </w:r>
    </w:p>
    <w:p/>
    <w:p/>
    <w:p/>
    <w:p/>
    <w:p>
      <w:pPr>
        <w:spacing w:before="91" w:line="352" w:lineRule="auto"/>
        <w:ind w:right="749"/>
        <w:jc w:val="right"/>
        <w:rPr>
          <w:rFonts w:ascii="宋体" w:hAnsi="宋体" w:eastAsia="宋体" w:cs="宋体"/>
          <w:spacing w:val="-2"/>
          <w:sz w:val="28"/>
          <w:szCs w:val="28"/>
        </w:rPr>
      </w:pPr>
      <w:r>
        <w:rPr>
          <w:rFonts w:hint="eastAsia" w:ascii="宋体" w:hAnsi="宋体" w:eastAsia="宋体" w:cs="宋体"/>
          <w:spacing w:val="-2"/>
          <w:sz w:val="28"/>
          <w:szCs w:val="28"/>
        </w:rPr>
        <w:t xml:space="preserve">上海申江医学科技发展基金会 </w:t>
      </w:r>
    </w:p>
    <w:p>
      <w:pPr>
        <w:spacing w:before="91" w:line="352" w:lineRule="auto"/>
        <w:ind w:right="749"/>
        <w:jc w:val="right"/>
      </w:pPr>
      <w:r>
        <w:rPr>
          <w:rFonts w:hint="eastAsia" w:ascii="宋体" w:hAnsi="宋体" w:eastAsia="宋体" w:cs="宋体"/>
          <w:spacing w:val="-2"/>
          <w:sz w:val="28"/>
          <w:szCs w:val="28"/>
        </w:rPr>
        <w:t xml:space="preserve">2023 年 </w:t>
      </w:r>
      <w:r>
        <w:rPr>
          <w:rFonts w:ascii="宋体" w:hAnsi="宋体" w:eastAsia="宋体" w:cs="宋体"/>
          <w:spacing w:val="-2"/>
          <w:sz w:val="28"/>
          <w:szCs w:val="28"/>
        </w:rPr>
        <w:t>6</w:t>
      </w:r>
      <w:r>
        <w:rPr>
          <w:rFonts w:hint="eastAsia" w:ascii="宋体" w:hAnsi="宋体" w:eastAsia="宋体" w:cs="宋体"/>
          <w:spacing w:val="-2"/>
          <w:sz w:val="28"/>
          <w:szCs w:val="28"/>
        </w:rPr>
        <w:t xml:space="preserve"> 月 </w:t>
      </w:r>
      <w:r>
        <w:rPr>
          <w:rFonts w:ascii="宋体" w:hAnsi="宋体" w:eastAsia="宋体" w:cs="宋体"/>
          <w:spacing w:val="-2"/>
          <w:sz w:val="28"/>
          <w:szCs w:val="28"/>
        </w:rPr>
        <w:t>15</w:t>
      </w:r>
      <w:r>
        <w:rPr>
          <w:rFonts w:hint="eastAsia" w:ascii="宋体" w:hAnsi="宋体" w:eastAsia="宋体" w:cs="宋体"/>
          <w:spacing w:val="-2"/>
          <w:sz w:val="28"/>
          <w:szCs w:val="28"/>
        </w:rPr>
        <w:t xml:space="preserve"> 日</w:t>
      </w:r>
    </w:p>
    <w:sectPr>
      <w:headerReference r:id="rId3" w:type="default"/>
      <w:footerReference r:id="rId4" w:type="default"/>
      <w:pgSz w:w="11906" w:h="16838"/>
      <w:pgMar w:top="998" w:right="737" w:bottom="850" w:left="998" w:header="283" w:footer="283"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3194050</wp:posOffset>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51.5pt;margin-top:-12pt;height:144pt;width:144pt;mso-position-horizontal-relative:margin;mso-wrap-style:none;z-index:251659264;mso-width-relative:page;mso-height-relative:page;" filled="f" stroked="f" coordsize="21600,21600" o:gfxdata="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4sgqG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before="192" w:after="0" w:afterLines="50" w:line="178" w:lineRule="auto"/>
      <w:jc w:val="center"/>
      <w:textAlignment w:val="baseline"/>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pPr>
    <w:r>
      <w:drawing>
        <wp:anchor distT="0" distB="0" distL="114935" distR="114935" simplePos="0" relativeHeight="251660288" behindDoc="0" locked="0" layoutInCell="1" allowOverlap="1">
          <wp:simplePos x="0" y="0"/>
          <wp:positionH relativeFrom="column">
            <wp:posOffset>109855</wp:posOffset>
          </wp:positionH>
          <wp:positionV relativeFrom="paragraph">
            <wp:posOffset>28575</wp:posOffset>
          </wp:positionV>
          <wp:extent cx="640715" cy="640715"/>
          <wp:effectExtent l="0" t="0" r="6985" b="698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
                  <a:stretch>
                    <a:fillRect/>
                  </a:stretch>
                </pic:blipFill>
                <pic:spPr>
                  <a:xfrm rot="21600000">
                    <a:off x="0" y="0"/>
                    <a:ext cx="640715" cy="640715"/>
                  </a:xfrm>
                  <a:prstGeom prst="rect">
                    <a:avLst/>
                  </a:prstGeom>
                </pic:spPr>
              </pic:pic>
            </a:graphicData>
          </a:graphic>
        </wp:anchor>
      </w:drawing>
    </w:r>
    <w:r>
      <w:rPr>
        <w:rFonts w:hint="eastAsia" w:ascii="微软雅黑" w:hAnsi="微软雅黑" w:eastAsia="微软雅黑" w:cs="微软雅黑"/>
        <w:color w:val="FF0000"/>
        <w:spacing w:val="109"/>
        <w:sz w:val="47"/>
        <w:szCs w:val="47"/>
        <w:lang w:val="en-US" w:eastAsia="zh-CN"/>
        <w14:textOutline w14:w="6350" w14:cap="flat" w14:cmpd="sng">
          <w14:solidFill>
            <w14:srgbClr w14:val="FF0000"/>
          </w14:solidFill>
          <w14:prstDash w14:val="solid"/>
          <w14:miter w14:val="0"/>
        </w14:textOutline>
      </w:rPr>
      <w:t xml:space="preserve"> </w:t>
    </w:r>
    <w:r>
      <w:rPr>
        <w:rFonts w:ascii="微软雅黑" w:hAnsi="微软雅黑" w:eastAsia="微软雅黑" w:cs="微软雅黑"/>
        <w:color w:val="FF0000"/>
        <w:spacing w:val="109"/>
        <w:sz w:val="40"/>
        <w:szCs w:val="40"/>
        <w14:textOutline w14:w="6350" w14:cap="flat" w14:cmpd="sng">
          <w14:solidFill>
            <w14:srgbClr w14:val="FF0000"/>
          </w14:solidFill>
          <w14:prstDash w14:val="solid"/>
          <w14:miter w14:val="0"/>
        </w14:textOutline>
      </w:rPr>
      <w:t>上</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海</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申江</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医学</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科技</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发展基金会</w:t>
    </w:r>
  </w:p>
  <w:p>
    <w:pPr>
      <w:pBdr>
        <w:bottom w:val="thinThickMediumGap" w:color="008000" w:sz="18" w:space="0"/>
      </w:pBdr>
      <w:bidi w:val="0"/>
      <w:ind w:firstLine="1446" w:firstLineChars="600"/>
      <w:jc w:val="both"/>
      <w:rPr>
        <w:rFonts w:hint="eastAsia" w:eastAsia="宋体"/>
        <w:b/>
        <w:bCs/>
        <w:color w:val="535353" w:themeColor="accent3" w:themeShade="80"/>
        <w:sz w:val="24"/>
        <w:szCs w:val="24"/>
        <w:u w:val="none"/>
        <w:lang w:val="en-US" w:eastAsia="zh-CN"/>
      </w:rPr>
    </w:pPr>
    <w:r>
      <w:rPr>
        <w:rFonts w:hint="eastAsia" w:eastAsia="宋体"/>
        <w:b/>
        <w:bCs/>
        <w:color w:val="535353" w:themeColor="accent3" w:themeShade="80"/>
        <w:sz w:val="24"/>
        <w:szCs w:val="24"/>
        <w:u w:val="none"/>
        <w:lang w:val="en-US" w:eastAsia="zh-CN"/>
      </w:rPr>
      <w:t>Shanghai Shenjiang Medical Technology Development Foundation</w:t>
    </w:r>
  </w:p>
  <w:p>
    <w:pPr>
      <w:pBdr>
        <w:bottom w:val="thinThickMediumGap" w:color="008000" w:sz="18" w:space="0"/>
      </w:pBdr>
      <w:bidi w:val="0"/>
      <w:ind w:firstLine="1446" w:firstLineChars="600"/>
      <w:jc w:val="both"/>
      <w:rPr>
        <w:rFonts w:hint="eastAsia" w:eastAsia="宋体"/>
        <w:b/>
        <w:bCs/>
        <w:color w:val="535353" w:themeColor="accent3" w:themeShade="80"/>
        <w:sz w:val="24"/>
        <w:szCs w:val="24"/>
        <w:u w:val="non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4B991"/>
    <w:multiLevelType w:val="singleLevel"/>
    <w:tmpl w:val="CDB4B991"/>
    <w:lvl w:ilvl="0" w:tentative="0">
      <w:start w:val="2"/>
      <w:numFmt w:val="chineseCounting"/>
      <w:suff w:val="space"/>
      <w:lvlText w:val="第%1章"/>
      <w:lvlJc w:val="left"/>
      <w:rPr>
        <w:rFonts w:hint="eastAsia"/>
      </w:rPr>
    </w:lvl>
  </w:abstractNum>
  <w:abstractNum w:abstractNumId="1">
    <w:nsid w:val="CE2F28E8"/>
    <w:multiLevelType w:val="singleLevel"/>
    <w:tmpl w:val="CE2F28E8"/>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gutterAtTop/>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3N2FjNjdkNjg2YjM5Y2NiMzM4NDRjYTg3MjY2NWYifQ=="/>
  </w:docVars>
  <w:rsids>
    <w:rsidRoot w:val="39AF2E16"/>
    <w:rsid w:val="000777BB"/>
    <w:rsid w:val="006B189B"/>
    <w:rsid w:val="008A735E"/>
    <w:rsid w:val="00CB671A"/>
    <w:rsid w:val="00E879C1"/>
    <w:rsid w:val="05C500E9"/>
    <w:rsid w:val="124F6E02"/>
    <w:rsid w:val="1EE7056B"/>
    <w:rsid w:val="20EC5803"/>
    <w:rsid w:val="2268661C"/>
    <w:rsid w:val="30D31EF8"/>
    <w:rsid w:val="314174A5"/>
    <w:rsid w:val="39AF2E16"/>
    <w:rsid w:val="40F82DD0"/>
    <w:rsid w:val="46480463"/>
    <w:rsid w:val="597A4A53"/>
    <w:rsid w:val="668F0231"/>
    <w:rsid w:val="67012153"/>
    <w:rsid w:val="67C45E11"/>
    <w:rsid w:val="75F2266E"/>
    <w:rsid w:val="77644920"/>
    <w:rsid w:val="7DFC1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9"/>
    <w:pPr>
      <w:keepLines/>
      <w:spacing w:before="280" w:beforeAutospacing="0" w:after="280" w:afterAutospacing="0"/>
      <w:jc w:val="center"/>
      <w:outlineLvl w:val="0"/>
    </w:pPr>
    <w:rPr>
      <w:b/>
      <w:color w:val="000000"/>
      <w:sz w:val="32"/>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2481</Words>
  <Characters>2507</Characters>
  <Lines>19</Lines>
  <Paragraphs>5</Paragraphs>
  <TotalTime>27</TotalTime>
  <ScaleCrop>false</ScaleCrop>
  <LinksUpToDate>false</LinksUpToDate>
  <CharactersWithSpaces>2684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2023-06-07T08:50:00Z</dcterms:created>
  <dc:creator>Hu＿AnEi</dc:creator>
  <cp:lastModifiedBy>刘新杰</cp:lastModifiedBy>
  <dcterms:modified xsi:type="dcterms:W3CDTF">2023-06-12T13:16:10Z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F5128953B6C04EAEA1A1B926C1F5BF35_11</vt:lpwstr>
  </property>
</Properties>
</file>