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14" w:line="224" w:lineRule="auto"/>
        <w:jc w:val="center"/>
        <w:rPr>
          <w:rFonts w:hint="eastAsia" w:ascii="宋体" w:hAnsi="宋体" w:eastAsia="宋体" w:cs="宋体"/>
          <w:spacing w:val="10"/>
          <w:sz w:val="35"/>
          <w:szCs w:val="35"/>
          <w14:textOutline w14:w="6540" w14:cap="sq" w14:cmpd="sng" w14:algn="ctr">
            <w14:solidFill>
              <w14:srgbClr w14:val="000000"/>
            </w14:solidFill>
            <w14:prstDash w14:val="solid"/>
            <w14:bevel/>
          </w14:textOutline>
        </w:rPr>
      </w:pPr>
    </w:p>
    <w:p>
      <w:pPr>
        <w:spacing w:before="114" w:line="224" w:lineRule="auto"/>
        <w:jc w:val="center"/>
        <w:rPr>
          <w:rFonts w:ascii="宋体" w:hAnsi="宋体" w:eastAsia="宋体" w:cs="宋体"/>
          <w:spacing w:val="10"/>
          <w:sz w:val="35"/>
          <w:szCs w:val="35"/>
          <w14:textOutline w14:w="6540" w14:cap="sq" w14:cmpd="sng" w14:algn="ctr">
            <w14:solidFill>
              <w14:srgbClr w14:val="000000"/>
            </w14:solidFill>
            <w14:prstDash w14:val="solid"/>
            <w14:bevel/>
          </w14:textOutline>
        </w:rPr>
      </w:pPr>
      <w:r>
        <w:rPr>
          <w:rFonts w:hint="eastAsia" w:ascii="宋体" w:hAnsi="宋体" w:eastAsia="宋体" w:cs="宋体"/>
          <w:spacing w:val="10"/>
          <w:sz w:val="35"/>
          <w:szCs w:val="35"/>
          <w14:textOutline w14:w="6540" w14:cap="sq" w14:cmpd="sng" w14:algn="ctr">
            <w14:solidFill>
              <w14:srgbClr w14:val="000000"/>
            </w14:solidFill>
            <w14:prstDash w14:val="solid"/>
            <w14:bevel/>
          </w14:textOutline>
        </w:rPr>
        <w:t>上海申江医学科技发展基金会财务管理制度</w:t>
      </w:r>
    </w:p>
    <w:p/>
    <w:p/>
    <w:p>
      <w:pPr>
        <w:numPr>
          <w:ilvl w:val="0"/>
          <w:numId w:val="1"/>
        </w:numPr>
        <w:spacing w:before="91" w:line="220" w:lineRule="auto"/>
        <w:jc w:val="center"/>
        <w:rPr>
          <w:rFonts w:hint="eastAsia" w:ascii="宋体" w:hAnsi="宋体" w:eastAsia="宋体" w:cs="宋体"/>
          <w:spacing w:val="-1"/>
          <w:sz w:val="28"/>
          <w:szCs w:val="28"/>
          <w14:textOutline w14:w="5105" w14:cap="sq" w14:cmpd="sng" w14:algn="ctr">
            <w14:solidFill>
              <w14:srgbClr w14:val="000000"/>
            </w14:solidFill>
            <w14:prstDash w14:val="solid"/>
            <w14:bevel/>
          </w14:textOutline>
        </w:rPr>
      </w:pPr>
      <w:r>
        <w:rPr>
          <w:rFonts w:hint="eastAsia" w:ascii="宋体" w:hAnsi="宋体" w:eastAsia="宋体" w:cs="宋体"/>
          <w:spacing w:val="-1"/>
          <w:sz w:val="28"/>
          <w:szCs w:val="28"/>
          <w14:textOutline w14:w="5105" w14:cap="sq" w14:cmpd="sng" w14:algn="ctr">
            <w14:solidFill>
              <w14:srgbClr w14:val="000000"/>
            </w14:solidFill>
            <w14:prstDash w14:val="solid"/>
            <w14:bevel/>
          </w14:textOutline>
        </w:rPr>
        <w:t xml:space="preserve">  总 则</w:t>
      </w:r>
    </w:p>
    <w:p>
      <w:pPr>
        <w:numPr>
          <w:numId w:val="0"/>
        </w:numPr>
        <w:spacing w:before="91" w:line="220" w:lineRule="auto"/>
        <w:jc w:val="both"/>
        <w:rPr>
          <w:rFonts w:hint="eastAsia" w:ascii="宋体" w:hAnsi="宋体" w:eastAsia="宋体" w:cs="宋体"/>
          <w:spacing w:val="-1"/>
          <w:sz w:val="28"/>
          <w:szCs w:val="28"/>
          <w14:textOutline w14:w="5105" w14:cap="sq" w14:cmpd="sng" w14:algn="ctr">
            <w14:solidFill>
              <w14:srgbClr w14:val="000000"/>
            </w14:solidFill>
            <w14:prstDash w14:val="solid"/>
            <w14:bevel/>
          </w14:textOutline>
        </w:rPr>
      </w:pPr>
    </w:p>
    <w:p>
      <w:pPr>
        <w:spacing w:before="120" w:beforeLines="50" w:line="360" w:lineRule="auto"/>
        <w:ind w:left="420" w:firstLine="420"/>
      </w:pPr>
      <w:r>
        <w:rPr>
          <w:rFonts w:hint="eastAsia" w:ascii="宋体" w:hAnsi="宋体" w:eastAsia="宋体" w:cs="宋体"/>
          <w:spacing w:val="-12"/>
          <w:sz w:val="28"/>
          <w:szCs w:val="28"/>
          <w14:textOutline w14:w="5105" w14:cap="sq" w14:cmpd="sng" w14:algn="ctr">
            <w14:solidFill>
              <w14:srgbClr w14:val="000000"/>
            </w14:solidFill>
            <w14:prstDash w14:val="solid"/>
            <w14:bevel/>
          </w14:textOutline>
        </w:rPr>
        <w:t>第一条</w:t>
      </w:r>
      <w:r>
        <w:rPr>
          <w:rFonts w:hint="eastAsia"/>
        </w:rPr>
        <w:t xml:space="preserve">    </w:t>
      </w:r>
      <w:r>
        <w:rPr>
          <w:rFonts w:hint="eastAsia" w:ascii="宋体" w:hAnsi="宋体" w:eastAsia="宋体" w:cs="宋体"/>
          <w:spacing w:val="-2"/>
          <w:sz w:val="28"/>
          <w:szCs w:val="28"/>
        </w:rPr>
        <w:t>为规范上海申江医学科技发展基金会 (以下简称“基金会”) 财务管理，保障本基金会财务运行的合法、合规和科学性以及捐赠者的合法权益，提高资金使用效益，根据《中华人民共和国慈善法》、《基金会管理条例》、《民间非营利组织会计制度》、《上海申江医学科技发展基金会章程》等有关要求，结合基金会的实际，制定本制度。</w:t>
      </w:r>
    </w:p>
    <w:p>
      <w:pPr>
        <w:spacing w:line="360" w:lineRule="auto"/>
        <w:ind w:left="420" w:firstLine="420"/>
        <w:rPr>
          <w:rFonts w:ascii="宋体" w:hAnsi="宋体" w:eastAsia="宋体" w:cs="宋体"/>
          <w:spacing w:val="-2"/>
          <w:sz w:val="28"/>
          <w:szCs w:val="28"/>
        </w:rPr>
      </w:pPr>
      <w:r>
        <w:rPr>
          <w:rFonts w:hint="eastAsia" w:ascii="宋体" w:hAnsi="宋体" w:eastAsia="宋体" w:cs="宋体"/>
          <w:spacing w:val="-12"/>
          <w:sz w:val="28"/>
          <w:szCs w:val="28"/>
          <w14:textOutline w14:w="5105" w14:cap="sq" w14:cmpd="sng" w14:algn="ctr">
            <w14:solidFill>
              <w14:srgbClr w14:val="000000"/>
            </w14:solidFill>
            <w14:prstDash w14:val="solid"/>
            <w14:bevel/>
          </w14:textOutline>
        </w:rPr>
        <w:t>第二条</w:t>
      </w:r>
      <w:r>
        <w:rPr>
          <w:rFonts w:hint="eastAsia"/>
        </w:rPr>
        <w:t xml:space="preserve">    </w:t>
      </w:r>
      <w:r>
        <w:rPr>
          <w:rFonts w:hint="eastAsia" w:ascii="宋体" w:hAnsi="宋体" w:eastAsia="宋体" w:cs="宋体"/>
          <w:spacing w:val="-2"/>
          <w:sz w:val="28"/>
          <w:szCs w:val="28"/>
        </w:rPr>
        <w:t>基金会财务管理的原则是：贯彻、执行国家有关法律、法规和各项规章制度；接受捐赠收入，应当符合章程规定的宗旨和公益活动的业务范围；实现基金的保值、增值，应当遵循合法、安全、有效的原则；开展公益活动资助项目，应当本着公开、透明的原则。</w:t>
      </w:r>
    </w:p>
    <w:p>
      <w:pPr>
        <w:spacing w:line="360" w:lineRule="auto"/>
        <w:ind w:left="420" w:firstLine="420"/>
        <w:rPr>
          <w:rFonts w:ascii="宋体" w:hAnsi="宋体" w:eastAsia="宋体" w:cs="宋体"/>
          <w:spacing w:val="-2"/>
          <w:sz w:val="28"/>
          <w:szCs w:val="28"/>
        </w:rPr>
      </w:pPr>
      <w:r>
        <w:rPr>
          <w:rFonts w:hint="eastAsia" w:ascii="宋体" w:hAnsi="宋体" w:eastAsia="宋体" w:cs="宋体"/>
          <w:spacing w:val="-12"/>
          <w:sz w:val="28"/>
          <w:szCs w:val="28"/>
          <w14:textOutline w14:w="5105" w14:cap="sq" w14:cmpd="sng" w14:algn="ctr">
            <w14:solidFill>
              <w14:srgbClr w14:val="000000"/>
            </w14:solidFill>
            <w14:prstDash w14:val="solid"/>
            <w14:bevel/>
          </w14:textOutline>
        </w:rPr>
        <w:t>第三条</w:t>
      </w:r>
      <w:r>
        <w:rPr>
          <w:rFonts w:hint="eastAsia"/>
        </w:rPr>
        <w:t xml:space="preserve">    </w:t>
      </w:r>
      <w:r>
        <w:rPr>
          <w:rFonts w:hint="eastAsia" w:ascii="宋体" w:hAnsi="宋体" w:eastAsia="宋体" w:cs="宋体"/>
          <w:spacing w:val="-2"/>
          <w:sz w:val="28"/>
          <w:szCs w:val="28"/>
        </w:rPr>
        <w:t>基金会财务管理的任务是：依法多种渠道、多种形式募集和接受社会各界的各类捐赠收入；利用基金会自有资产通过合法途径获取收益；为基金会开展各项公益活动提供资金保障。</w:t>
      </w:r>
    </w:p>
    <w:p>
      <w:pPr>
        <w:spacing w:line="360" w:lineRule="auto"/>
        <w:ind w:left="420" w:firstLine="420"/>
        <w:rPr>
          <w:rFonts w:ascii="宋体" w:hAnsi="宋体" w:eastAsia="宋体" w:cs="宋体"/>
          <w:spacing w:val="-2"/>
          <w:sz w:val="28"/>
          <w:szCs w:val="28"/>
        </w:rPr>
      </w:pPr>
      <w:r>
        <w:rPr>
          <w:rFonts w:hint="eastAsia" w:ascii="宋体" w:hAnsi="宋体" w:eastAsia="宋体" w:cs="宋体"/>
          <w:spacing w:val="-12"/>
          <w:sz w:val="28"/>
          <w:szCs w:val="28"/>
          <w14:textOutline w14:w="5105" w14:cap="sq" w14:cmpd="sng" w14:algn="ctr">
            <w14:solidFill>
              <w14:srgbClr w14:val="000000"/>
            </w14:solidFill>
            <w14:prstDash w14:val="solid"/>
            <w14:bevel/>
          </w14:textOutline>
        </w:rPr>
        <w:t>第四条</w:t>
      </w:r>
      <w:r>
        <w:rPr>
          <w:rFonts w:hint="eastAsia"/>
        </w:rPr>
        <w:t xml:space="preserve">   </w:t>
      </w:r>
      <w:r>
        <w:rPr>
          <w:rFonts w:hint="eastAsia" w:ascii="宋体" w:hAnsi="宋体" w:eastAsia="宋体" w:cs="宋体"/>
          <w:spacing w:val="-2"/>
          <w:sz w:val="28"/>
          <w:szCs w:val="28"/>
        </w:rPr>
        <w:t xml:space="preserve"> 基金会及其捐赠人、受益人依照法律、法规的规定享受税收优惠。</w:t>
      </w:r>
    </w:p>
    <w:p/>
    <w:p>
      <w:pPr>
        <w:numPr>
          <w:ilvl w:val="0"/>
          <w:numId w:val="1"/>
        </w:numPr>
        <w:spacing w:before="91" w:line="220" w:lineRule="auto"/>
        <w:ind w:left="0" w:leftChars="0" w:firstLine="0" w:firstLineChars="0"/>
        <w:jc w:val="center"/>
        <w:rPr>
          <w:rFonts w:hint="eastAsia" w:ascii="宋体" w:hAnsi="宋体" w:eastAsia="宋体" w:cs="宋体"/>
          <w:spacing w:val="-1"/>
          <w:sz w:val="28"/>
          <w:szCs w:val="28"/>
          <w14:textOutline w14:w="5105" w14:cap="sq" w14:cmpd="sng" w14:algn="ctr">
            <w14:solidFill>
              <w14:srgbClr w14:val="000000"/>
            </w14:solidFill>
            <w14:prstDash w14:val="solid"/>
            <w14:bevel/>
          </w14:textOutline>
        </w:rPr>
      </w:pPr>
      <w:r>
        <w:rPr>
          <w:rFonts w:hint="eastAsia" w:ascii="宋体" w:hAnsi="宋体" w:eastAsia="宋体" w:cs="宋体"/>
          <w:spacing w:val="-1"/>
          <w:sz w:val="28"/>
          <w:szCs w:val="28"/>
          <w14:textOutline w14:w="5105" w14:cap="sq" w14:cmpd="sng" w14:algn="ctr">
            <w14:solidFill>
              <w14:srgbClr w14:val="000000"/>
            </w14:solidFill>
            <w14:prstDash w14:val="solid"/>
            <w14:bevel/>
          </w14:textOutline>
        </w:rPr>
        <w:t xml:space="preserve">  财务管理体制</w:t>
      </w:r>
    </w:p>
    <w:p>
      <w:pPr>
        <w:numPr>
          <w:numId w:val="0"/>
        </w:numPr>
        <w:spacing w:before="91" w:line="220" w:lineRule="auto"/>
        <w:ind w:leftChars="0"/>
        <w:jc w:val="both"/>
        <w:rPr>
          <w:rFonts w:hint="eastAsia" w:ascii="宋体" w:hAnsi="宋体" w:eastAsia="宋体" w:cs="宋体"/>
          <w:spacing w:val="-1"/>
          <w:sz w:val="28"/>
          <w:szCs w:val="28"/>
          <w14:textOutline w14:w="5105" w14:cap="sq" w14:cmpd="sng" w14:algn="ctr">
            <w14:solidFill>
              <w14:srgbClr w14:val="000000"/>
            </w14:solidFill>
            <w14:prstDash w14:val="solid"/>
            <w14:bevel/>
          </w14:textOutline>
        </w:rPr>
      </w:pPr>
    </w:p>
    <w:p>
      <w:pPr>
        <w:spacing w:before="120" w:beforeLines="50" w:line="360" w:lineRule="auto"/>
        <w:ind w:left="420" w:firstLine="420"/>
        <w:rPr>
          <w:rFonts w:ascii="宋体" w:hAnsi="宋体" w:eastAsia="宋体" w:cs="宋体"/>
          <w:spacing w:val="-2"/>
          <w:sz w:val="28"/>
          <w:szCs w:val="28"/>
        </w:rPr>
      </w:pPr>
      <w:r>
        <w:rPr>
          <w:rFonts w:hint="eastAsia" w:ascii="宋体" w:hAnsi="宋体" w:eastAsia="宋体" w:cs="宋体"/>
          <w:spacing w:val="-12"/>
          <w:sz w:val="28"/>
          <w:szCs w:val="28"/>
          <w14:textOutline w14:w="5105" w14:cap="sq" w14:cmpd="sng" w14:algn="ctr">
            <w14:solidFill>
              <w14:srgbClr w14:val="000000"/>
            </w14:solidFill>
            <w14:prstDash w14:val="solid"/>
            <w14:bevel/>
          </w14:textOutline>
        </w:rPr>
        <w:t>第五条</w:t>
      </w:r>
      <w:r>
        <w:rPr>
          <w:rFonts w:hint="eastAsia"/>
        </w:rPr>
        <w:t xml:space="preserve">    </w:t>
      </w:r>
      <w:r>
        <w:rPr>
          <w:rFonts w:hint="eastAsia" w:ascii="宋体" w:hAnsi="宋体" w:eastAsia="宋体" w:cs="宋体"/>
          <w:spacing w:val="-2"/>
          <w:sz w:val="28"/>
          <w:szCs w:val="28"/>
        </w:rPr>
        <w:t>根据基金会组织机构的设置，理事会是基金会最高权力机构。在理事会休会期间，由理事长授权秘书长在授权范围内负责基金会日常工作。</w:t>
      </w:r>
    </w:p>
    <w:p>
      <w:pPr>
        <w:spacing w:line="360" w:lineRule="auto"/>
        <w:ind w:left="420" w:firstLine="420"/>
        <w:rPr>
          <w:rFonts w:ascii="宋体" w:hAnsi="宋体" w:eastAsia="宋体" w:cs="宋体"/>
          <w:spacing w:val="-2"/>
          <w:sz w:val="28"/>
          <w:szCs w:val="28"/>
        </w:rPr>
      </w:pPr>
      <w:r>
        <w:rPr>
          <w:rFonts w:hint="eastAsia" w:ascii="宋体" w:hAnsi="宋体" w:eastAsia="宋体" w:cs="宋体"/>
          <w:spacing w:val="-12"/>
          <w:sz w:val="28"/>
          <w:szCs w:val="28"/>
          <w14:textOutline w14:w="5105" w14:cap="sq" w14:cmpd="sng" w14:algn="ctr">
            <w14:solidFill>
              <w14:srgbClr w14:val="000000"/>
            </w14:solidFill>
            <w14:prstDash w14:val="solid"/>
            <w14:bevel/>
          </w14:textOutline>
        </w:rPr>
        <w:t>第六条</w:t>
      </w:r>
      <w:r>
        <w:rPr>
          <w:rFonts w:hint="eastAsia"/>
        </w:rPr>
        <w:t xml:space="preserve">    </w:t>
      </w:r>
      <w:r>
        <w:rPr>
          <w:rFonts w:hint="eastAsia" w:ascii="宋体" w:hAnsi="宋体" w:eastAsia="宋体" w:cs="宋体"/>
          <w:spacing w:val="-2"/>
          <w:sz w:val="28"/>
          <w:szCs w:val="28"/>
        </w:rPr>
        <w:t>理事会上每年专题汇报财务工作，审议基金会上年度财务工作报告和本年度财务预算报告，决定当年财务收支预算、资金运作方案和财务工作重点。基金会预算一经确定，不可随意更改，如需调整预算须经理事会通过方可执行。</w:t>
      </w:r>
    </w:p>
    <w:p>
      <w:pPr>
        <w:spacing w:line="360" w:lineRule="auto"/>
        <w:ind w:left="420" w:firstLine="420"/>
      </w:pPr>
      <w:r>
        <w:rPr>
          <w:rFonts w:hint="eastAsia" w:ascii="宋体" w:hAnsi="宋体" w:eastAsia="宋体" w:cs="宋体"/>
          <w:spacing w:val="-12"/>
          <w:sz w:val="28"/>
          <w:szCs w:val="28"/>
          <w14:textOutline w14:w="5105" w14:cap="sq" w14:cmpd="sng" w14:algn="ctr">
            <w14:solidFill>
              <w14:srgbClr w14:val="000000"/>
            </w14:solidFill>
            <w14:prstDash w14:val="solid"/>
            <w14:bevel/>
          </w14:textOutline>
        </w:rPr>
        <w:t>第七条</w:t>
      </w:r>
      <w:r>
        <w:rPr>
          <w:rFonts w:hint="eastAsia"/>
        </w:rPr>
        <w:t xml:space="preserve">    </w:t>
      </w:r>
      <w:r>
        <w:rPr>
          <w:rFonts w:hint="eastAsia" w:ascii="宋体" w:hAnsi="宋体" w:eastAsia="宋体" w:cs="宋体"/>
          <w:spacing w:val="-2"/>
          <w:sz w:val="28"/>
          <w:szCs w:val="28"/>
        </w:rPr>
        <w:t>基金会秘书处设置财务部，配备具有从业资格证书的会计人员，进行会计核算和财务管理工作，会计不得兼任出纳。</w:t>
      </w:r>
    </w:p>
    <w:p>
      <w:pPr>
        <w:spacing w:line="360" w:lineRule="auto"/>
        <w:ind w:left="420" w:firstLine="420"/>
      </w:pPr>
      <w:r>
        <w:rPr>
          <w:rFonts w:hint="eastAsia" w:ascii="宋体" w:hAnsi="宋体" w:eastAsia="宋体" w:cs="宋体"/>
          <w:spacing w:val="-12"/>
          <w:sz w:val="28"/>
          <w:szCs w:val="28"/>
          <w14:textOutline w14:w="5105" w14:cap="sq" w14:cmpd="sng" w14:algn="ctr">
            <w14:solidFill>
              <w14:srgbClr w14:val="000000"/>
            </w14:solidFill>
            <w14:prstDash w14:val="solid"/>
            <w14:bevel/>
          </w14:textOutline>
        </w:rPr>
        <w:t>第八条</w:t>
      </w:r>
      <w:r>
        <w:rPr>
          <w:rFonts w:hint="eastAsia"/>
        </w:rPr>
        <w:t xml:space="preserve">    </w:t>
      </w:r>
      <w:r>
        <w:rPr>
          <w:rFonts w:hint="eastAsia" w:ascii="宋体" w:hAnsi="宋体" w:eastAsia="宋体" w:cs="宋体"/>
          <w:spacing w:val="-2"/>
          <w:sz w:val="28"/>
          <w:szCs w:val="28"/>
        </w:rPr>
        <w:t>会计人员调动工作或离职时，必须在基金会负责人的监督下，与接管人员办清交接手续。</w:t>
      </w:r>
    </w:p>
    <w:p/>
    <w:p>
      <w:pPr>
        <w:numPr>
          <w:ilvl w:val="0"/>
          <w:numId w:val="1"/>
        </w:numPr>
        <w:spacing w:before="91" w:line="220" w:lineRule="auto"/>
        <w:ind w:left="0" w:leftChars="0" w:firstLine="0" w:firstLineChars="0"/>
        <w:jc w:val="center"/>
        <w:rPr>
          <w:rFonts w:hint="eastAsia" w:ascii="宋体" w:hAnsi="宋体" w:eastAsia="宋体" w:cs="宋体"/>
          <w:spacing w:val="-1"/>
          <w:sz w:val="28"/>
          <w:szCs w:val="28"/>
          <w14:textOutline w14:w="5105" w14:cap="sq" w14:cmpd="sng" w14:algn="ctr">
            <w14:solidFill>
              <w14:srgbClr w14:val="000000"/>
            </w14:solidFill>
            <w14:prstDash w14:val="solid"/>
            <w14:bevel/>
          </w14:textOutline>
        </w:rPr>
      </w:pPr>
      <w:r>
        <w:rPr>
          <w:rFonts w:hint="eastAsia" w:ascii="宋体" w:hAnsi="宋体" w:eastAsia="宋体" w:cs="宋体"/>
          <w:spacing w:val="-1"/>
          <w:sz w:val="28"/>
          <w:szCs w:val="28"/>
          <w14:textOutline w14:w="5105" w14:cap="sq" w14:cmpd="sng" w14:algn="ctr">
            <w14:solidFill>
              <w14:srgbClr w14:val="000000"/>
            </w14:solidFill>
            <w14:prstDash w14:val="solid"/>
            <w14:bevel/>
          </w14:textOutline>
        </w:rPr>
        <w:t xml:space="preserve">   收入管理</w:t>
      </w:r>
    </w:p>
    <w:p>
      <w:pPr>
        <w:numPr>
          <w:numId w:val="0"/>
        </w:numPr>
        <w:spacing w:before="91" w:line="220" w:lineRule="auto"/>
        <w:ind w:leftChars="0"/>
        <w:jc w:val="both"/>
        <w:rPr>
          <w:rFonts w:hint="eastAsia" w:ascii="宋体" w:hAnsi="宋体" w:eastAsia="宋体" w:cs="宋体"/>
          <w:spacing w:val="-1"/>
          <w:sz w:val="28"/>
          <w:szCs w:val="28"/>
          <w14:textOutline w14:w="5105" w14:cap="sq" w14:cmpd="sng" w14:algn="ctr">
            <w14:solidFill>
              <w14:srgbClr w14:val="000000"/>
            </w14:solidFill>
            <w14:prstDash w14:val="solid"/>
            <w14:bevel/>
          </w14:textOutline>
        </w:rPr>
      </w:pPr>
    </w:p>
    <w:p>
      <w:pPr>
        <w:spacing w:before="120" w:beforeLines="50" w:line="360" w:lineRule="auto"/>
        <w:ind w:left="420" w:firstLine="420"/>
        <w:rPr>
          <w:rFonts w:ascii="宋体" w:hAnsi="宋体" w:eastAsia="宋体" w:cs="宋体"/>
          <w:spacing w:val="-2"/>
          <w:sz w:val="28"/>
          <w:szCs w:val="28"/>
        </w:rPr>
      </w:pPr>
      <w:r>
        <w:rPr>
          <w:rFonts w:hint="eastAsia" w:ascii="宋体" w:hAnsi="宋体" w:eastAsia="宋体" w:cs="宋体"/>
          <w:spacing w:val="-12"/>
          <w:sz w:val="28"/>
          <w:szCs w:val="28"/>
          <w14:textOutline w14:w="5105" w14:cap="sq" w14:cmpd="sng" w14:algn="ctr">
            <w14:solidFill>
              <w14:srgbClr w14:val="000000"/>
            </w14:solidFill>
            <w14:prstDash w14:val="solid"/>
            <w14:bevel/>
          </w14:textOutline>
        </w:rPr>
        <w:t>第九条</w:t>
      </w:r>
      <w:r>
        <w:rPr>
          <w:rFonts w:hint="eastAsia"/>
        </w:rPr>
        <w:t xml:space="preserve">    </w:t>
      </w:r>
      <w:r>
        <w:rPr>
          <w:rFonts w:hint="eastAsia" w:ascii="宋体" w:hAnsi="宋体" w:eastAsia="宋体" w:cs="宋体"/>
          <w:spacing w:val="-2"/>
          <w:sz w:val="28"/>
          <w:szCs w:val="28"/>
        </w:rPr>
        <w:t>按照中国人民银行的有关规定，本基金会设立专用账户，对基金会的收入实行专门管理，自觉接受社会监督和审计监督。</w:t>
      </w:r>
    </w:p>
    <w:p>
      <w:pPr>
        <w:spacing w:line="360" w:lineRule="auto"/>
        <w:ind w:left="420" w:firstLine="420"/>
        <w:rPr>
          <w:rFonts w:ascii="宋体" w:hAnsi="宋体" w:eastAsia="宋体" w:cs="宋体"/>
          <w:spacing w:val="-2"/>
          <w:sz w:val="28"/>
          <w:szCs w:val="28"/>
        </w:rPr>
      </w:pPr>
      <w:r>
        <w:rPr>
          <w:rFonts w:hint="eastAsia" w:ascii="宋体" w:hAnsi="宋体" w:eastAsia="宋体" w:cs="宋体"/>
          <w:spacing w:val="-12"/>
          <w:sz w:val="28"/>
          <w:szCs w:val="28"/>
          <w14:textOutline w14:w="5105" w14:cap="sq" w14:cmpd="sng" w14:algn="ctr">
            <w14:solidFill>
              <w14:srgbClr w14:val="000000"/>
            </w14:solidFill>
            <w14:prstDash w14:val="solid"/>
            <w14:bevel/>
          </w14:textOutline>
        </w:rPr>
        <w:t>第十条</w:t>
      </w:r>
      <w:r>
        <w:rPr>
          <w:rFonts w:hint="eastAsia"/>
        </w:rPr>
        <w:t xml:space="preserve">    </w:t>
      </w:r>
      <w:r>
        <w:rPr>
          <w:rFonts w:hint="eastAsia" w:ascii="宋体" w:hAnsi="宋体" w:eastAsia="宋体" w:cs="宋体"/>
          <w:spacing w:val="-2"/>
          <w:sz w:val="28"/>
          <w:szCs w:val="28"/>
        </w:rPr>
        <w:t>本基金会的收入主要包括捐赠收入、投资收益和其他收入。捐赠收入是指接受其他单位或个人捐赠所取得的收入，包括捐赠货币资金、实物、无形资产、短期投资、长期股权投资和长期债权投资所得。投资收益是指因对外投资取得的投资净损益。其他收入是指除上述收入以外的其他收入，如利息、固定资产处置净收入、无形资产处置净收入等。</w:t>
      </w:r>
    </w:p>
    <w:p>
      <w:pPr>
        <w:spacing w:line="360" w:lineRule="auto"/>
        <w:ind w:left="420" w:firstLine="420"/>
        <w:rPr>
          <w:rFonts w:ascii="宋体" w:hAnsi="宋体" w:eastAsia="宋体" w:cs="宋体"/>
          <w:spacing w:val="-2"/>
          <w:sz w:val="28"/>
          <w:szCs w:val="28"/>
        </w:rPr>
      </w:pPr>
      <w:r>
        <w:rPr>
          <w:rFonts w:hint="eastAsia" w:ascii="宋体" w:hAnsi="宋体" w:eastAsia="宋体" w:cs="宋体"/>
          <w:spacing w:val="-12"/>
          <w:sz w:val="28"/>
          <w:szCs w:val="28"/>
          <w14:textOutline w14:w="5105" w14:cap="sq" w14:cmpd="sng" w14:algn="ctr">
            <w14:solidFill>
              <w14:srgbClr w14:val="000000"/>
            </w14:solidFill>
            <w14:prstDash w14:val="solid"/>
            <w14:bevel/>
          </w14:textOutline>
        </w:rPr>
        <w:t>第十一条</w:t>
      </w:r>
      <w:r>
        <w:rPr>
          <w:rFonts w:hint="eastAsia"/>
        </w:rPr>
        <w:t xml:space="preserve">    </w:t>
      </w:r>
      <w:r>
        <w:rPr>
          <w:rFonts w:hint="eastAsia" w:ascii="宋体" w:hAnsi="宋体" w:eastAsia="宋体" w:cs="宋体"/>
          <w:spacing w:val="-2"/>
          <w:sz w:val="28"/>
          <w:szCs w:val="28"/>
        </w:rPr>
        <w:t>资金进入基金会账户后，应严格按照捐赠单位</w:t>
      </w:r>
      <w:r>
        <w:rPr>
          <w:rFonts w:hint="eastAsia" w:ascii="宋体" w:hAnsi="宋体" w:eastAsia="宋体" w:cs="宋体"/>
          <w:spacing w:val="-2"/>
          <w:sz w:val="28"/>
          <w:szCs w:val="28"/>
          <w:lang w:val="en-US" w:eastAsia="zh-CN"/>
        </w:rPr>
        <w:t xml:space="preserve"> </w:t>
      </w:r>
      <w:r>
        <w:rPr>
          <w:rFonts w:hint="eastAsia" w:ascii="宋体" w:hAnsi="宋体" w:eastAsia="宋体" w:cs="宋体"/>
          <w:spacing w:val="-2"/>
          <w:sz w:val="28"/>
          <w:szCs w:val="28"/>
        </w:rPr>
        <w:t>(或捐款人)</w:t>
      </w:r>
      <w:r>
        <w:rPr>
          <w:rFonts w:hint="eastAsia" w:ascii="宋体" w:hAnsi="宋体" w:eastAsia="宋体" w:cs="宋体"/>
          <w:spacing w:val="-2"/>
          <w:sz w:val="28"/>
          <w:szCs w:val="28"/>
          <w:lang w:val="en-US" w:eastAsia="zh-CN"/>
        </w:rPr>
        <w:t xml:space="preserve"> </w:t>
      </w:r>
      <w:r>
        <w:rPr>
          <w:rFonts w:hint="eastAsia" w:ascii="宋体" w:hAnsi="宋体" w:eastAsia="宋体" w:cs="宋体"/>
          <w:spacing w:val="-2"/>
          <w:sz w:val="28"/>
          <w:szCs w:val="28"/>
        </w:rPr>
        <w:t>与本会签署的捐赠协议执行。按照协议要求，定期向捐赠单位</w:t>
      </w:r>
      <w:r>
        <w:rPr>
          <w:rFonts w:hint="eastAsia" w:ascii="宋体" w:hAnsi="宋体" w:eastAsia="宋体" w:cs="宋体"/>
          <w:spacing w:val="-2"/>
          <w:sz w:val="28"/>
          <w:szCs w:val="28"/>
          <w:lang w:val="en-US" w:eastAsia="zh-CN"/>
        </w:rPr>
        <w:t xml:space="preserve"> </w:t>
      </w:r>
      <w:r>
        <w:rPr>
          <w:rFonts w:hint="eastAsia" w:ascii="宋体" w:hAnsi="宋体" w:eastAsia="宋体" w:cs="宋体"/>
          <w:spacing w:val="-2"/>
          <w:sz w:val="28"/>
          <w:szCs w:val="28"/>
        </w:rPr>
        <w:t>(或捐款人)</w:t>
      </w:r>
      <w:r>
        <w:rPr>
          <w:rFonts w:hint="eastAsia" w:ascii="宋体" w:hAnsi="宋体" w:eastAsia="宋体" w:cs="宋体"/>
          <w:spacing w:val="-2"/>
          <w:sz w:val="28"/>
          <w:szCs w:val="28"/>
          <w:lang w:val="en-US" w:eastAsia="zh-CN"/>
        </w:rPr>
        <w:t xml:space="preserve"> </w:t>
      </w:r>
      <w:r>
        <w:rPr>
          <w:rFonts w:hint="eastAsia" w:ascii="宋体" w:hAnsi="宋体" w:eastAsia="宋体" w:cs="宋体"/>
          <w:spacing w:val="-2"/>
          <w:sz w:val="28"/>
          <w:szCs w:val="28"/>
        </w:rPr>
        <w:t>报告该基金的使用情况。</w:t>
      </w:r>
    </w:p>
    <w:p>
      <w:pPr>
        <w:spacing w:line="360" w:lineRule="auto"/>
        <w:ind w:left="420" w:firstLine="420"/>
        <w:rPr>
          <w:rFonts w:ascii="宋体" w:hAnsi="宋体" w:eastAsia="宋体" w:cs="宋体"/>
          <w:spacing w:val="-2"/>
          <w:sz w:val="28"/>
          <w:szCs w:val="28"/>
        </w:rPr>
      </w:pPr>
      <w:r>
        <w:rPr>
          <w:rFonts w:hint="eastAsia" w:ascii="宋体" w:hAnsi="宋体" w:eastAsia="宋体" w:cs="宋体"/>
          <w:spacing w:val="-12"/>
          <w:sz w:val="28"/>
          <w:szCs w:val="28"/>
          <w14:textOutline w14:w="5105" w14:cap="sq" w14:cmpd="sng" w14:algn="ctr">
            <w14:solidFill>
              <w14:srgbClr w14:val="000000"/>
            </w14:solidFill>
            <w14:prstDash w14:val="solid"/>
            <w14:bevel/>
          </w14:textOutline>
        </w:rPr>
        <w:t>第十二条</w:t>
      </w:r>
      <w:r>
        <w:rPr>
          <w:rFonts w:hint="eastAsia"/>
        </w:rPr>
        <w:t xml:space="preserve">    </w:t>
      </w:r>
      <w:r>
        <w:rPr>
          <w:rFonts w:hint="eastAsia" w:ascii="宋体" w:hAnsi="宋体" w:eastAsia="宋体" w:cs="宋体"/>
          <w:spacing w:val="-2"/>
          <w:sz w:val="28"/>
          <w:szCs w:val="28"/>
        </w:rPr>
        <w:t>凡收到捐赠所得现金或者支票，应按照实际收到的金额向捐赠者开具公益事业统一捐赠票据，并将现金或支票及时缴银行入账。</w:t>
      </w:r>
    </w:p>
    <w:p>
      <w:pPr>
        <w:spacing w:line="360" w:lineRule="auto"/>
        <w:ind w:left="420" w:firstLine="420"/>
        <w:rPr>
          <w:rFonts w:ascii="宋体" w:hAnsi="宋体" w:eastAsia="宋体" w:cs="宋体"/>
          <w:spacing w:val="-2"/>
          <w:sz w:val="28"/>
          <w:szCs w:val="28"/>
        </w:rPr>
      </w:pPr>
      <w:r>
        <w:rPr>
          <w:rFonts w:hint="eastAsia" w:ascii="宋体" w:hAnsi="宋体" w:eastAsia="宋体" w:cs="宋体"/>
          <w:spacing w:val="-12"/>
          <w:sz w:val="28"/>
          <w:szCs w:val="28"/>
          <w14:textOutline w14:w="5105" w14:cap="sq" w14:cmpd="sng" w14:algn="ctr">
            <w14:solidFill>
              <w14:srgbClr w14:val="000000"/>
            </w14:solidFill>
            <w14:prstDash w14:val="solid"/>
            <w14:bevel/>
          </w14:textOutline>
        </w:rPr>
        <w:t>第十三条</w:t>
      </w:r>
      <w:r>
        <w:rPr>
          <w:rFonts w:hint="eastAsia"/>
        </w:rPr>
        <w:t xml:space="preserve">    </w:t>
      </w:r>
      <w:r>
        <w:rPr>
          <w:rFonts w:hint="eastAsia" w:ascii="宋体" w:hAnsi="宋体" w:eastAsia="宋体" w:cs="宋体"/>
          <w:spacing w:val="-2"/>
          <w:sz w:val="28"/>
          <w:szCs w:val="28"/>
        </w:rPr>
        <w:t>接受捐赠物资，应确认收入并向捐赠者开具公益事业统一捐赠票据，并建立捐赠实物收支账册，登记物资品种、数量及金额。</w:t>
      </w:r>
    </w:p>
    <w:p>
      <w:pPr>
        <w:spacing w:before="119" w:line="360" w:lineRule="auto"/>
        <w:ind w:left="420" w:firstLine="420"/>
      </w:pPr>
      <w:r>
        <w:rPr>
          <w:rFonts w:hint="eastAsia" w:ascii="宋体" w:hAnsi="宋体" w:eastAsia="宋体" w:cs="宋体"/>
          <w:spacing w:val="-12"/>
          <w:sz w:val="28"/>
          <w:szCs w:val="28"/>
          <w14:textOutline w14:w="5105" w14:cap="sq" w14:cmpd="sng" w14:algn="ctr">
            <w14:solidFill>
              <w14:srgbClr w14:val="000000"/>
            </w14:solidFill>
            <w14:prstDash w14:val="solid"/>
            <w14:bevel/>
          </w14:textOutline>
        </w:rPr>
        <w:t>第十四条</w:t>
      </w:r>
      <w:r>
        <w:rPr>
          <w:rFonts w:hint="eastAsia" w:ascii="宋体" w:hAnsi="宋体" w:eastAsia="宋体" w:cs="宋体"/>
          <w:spacing w:val="-12"/>
          <w:sz w:val="28"/>
          <w:szCs w:val="28"/>
          <w14:textOutline w14:w="5105" w14:cap="sq" w14:cmpd="sng" w14:algn="ctr">
            <w14:solidFill>
              <w14:srgbClr w14:val="000000"/>
            </w14:solidFill>
            <w14:prstDash w14:val="solid"/>
            <w14:bevel/>
          </w14:textOutline>
        </w:rPr>
        <w:tab/>
      </w:r>
      <w:r>
        <w:rPr>
          <w:rFonts w:hint="eastAsia" w:ascii="宋体" w:hAnsi="宋体" w:eastAsia="宋体" w:cs="宋体"/>
          <w:spacing w:val="-12"/>
          <w:sz w:val="28"/>
          <w:szCs w:val="28"/>
          <w14:textOutline w14:w="5105" w14:cap="sq" w14:cmpd="sng" w14:algn="ctr">
            <w14:solidFill>
              <w14:srgbClr w14:val="000000"/>
            </w14:solidFill>
            <w14:prstDash w14:val="solid"/>
            <w14:bevel/>
          </w14:textOutline>
        </w:rPr>
        <w:t xml:space="preserve">  </w:t>
      </w:r>
      <w:r>
        <w:rPr>
          <w:rFonts w:hint="eastAsia" w:ascii="宋体" w:hAnsi="宋体" w:eastAsia="宋体" w:cs="宋体"/>
          <w:spacing w:val="-2"/>
          <w:sz w:val="28"/>
          <w:szCs w:val="28"/>
        </w:rPr>
        <w:t>基金会接收非现金捐赠收入，按照以下方法确定入账价值：</w:t>
      </w:r>
    </w:p>
    <w:p>
      <w:pPr>
        <w:spacing w:line="360" w:lineRule="auto"/>
        <w:ind w:left="420" w:firstLine="420"/>
        <w:rPr>
          <w:rFonts w:ascii="宋体" w:hAnsi="宋体" w:eastAsia="宋体" w:cs="宋体"/>
          <w:spacing w:val="-2"/>
          <w:sz w:val="28"/>
          <w:szCs w:val="28"/>
        </w:rPr>
      </w:pPr>
      <w:r>
        <w:rPr>
          <w:rFonts w:hint="eastAsia" w:ascii="宋体" w:hAnsi="宋体" w:eastAsia="宋体" w:cs="宋体"/>
          <w:spacing w:val="-2"/>
          <w:sz w:val="28"/>
          <w:szCs w:val="28"/>
        </w:rPr>
        <w:t>(一) 捐赠人提供了发票、报关单等凭据的，应当以相关凭据作为确认入账价值的依据；捐赠方不能提供凭据的，应当以其他确认捐赠财产的证明，作为确认入账价值的依据；</w:t>
      </w:r>
    </w:p>
    <w:p>
      <w:pPr>
        <w:spacing w:line="360" w:lineRule="auto"/>
        <w:ind w:left="420" w:firstLine="420"/>
        <w:rPr>
          <w:rFonts w:ascii="宋体" w:hAnsi="宋体" w:eastAsia="宋体" w:cs="宋体"/>
          <w:spacing w:val="-2"/>
          <w:sz w:val="28"/>
          <w:szCs w:val="28"/>
        </w:rPr>
      </w:pPr>
      <w:r>
        <w:rPr>
          <w:rFonts w:hint="eastAsia" w:ascii="宋体" w:hAnsi="宋体" w:eastAsia="宋体" w:cs="宋体"/>
          <w:spacing w:val="-2"/>
          <w:sz w:val="28"/>
          <w:szCs w:val="28"/>
        </w:rPr>
        <w:t>(二) 捐赠人提供的凭据或其他能够确认受赠资产价值的证明上标明的金额与受赠资产公允价值相差较大的，应当以其公允价值作为入账价值；</w:t>
      </w:r>
    </w:p>
    <w:p>
      <w:pPr>
        <w:spacing w:line="360" w:lineRule="auto"/>
        <w:ind w:left="420" w:firstLine="420"/>
        <w:rPr>
          <w:rFonts w:ascii="宋体" w:hAnsi="宋体" w:eastAsia="宋体" w:cs="宋体"/>
          <w:spacing w:val="-2"/>
          <w:sz w:val="28"/>
          <w:szCs w:val="28"/>
        </w:rPr>
      </w:pPr>
      <w:r>
        <w:rPr>
          <w:rFonts w:hint="eastAsia" w:ascii="宋体" w:hAnsi="宋体" w:eastAsia="宋体" w:cs="宋体"/>
          <w:spacing w:val="-2"/>
          <w:sz w:val="28"/>
          <w:szCs w:val="28"/>
        </w:rPr>
        <w:t>(三) 捐赠人捐赠固定资产、股权、无形资产、文物文化资产，应当以具有合法资质的第三方机构的评估作为确认入账价值的依据。无法评估或经评估无法确认价格的，基金会不得计入捐赠收入，不得开具捐赠票据，应当另外造册登记。</w:t>
      </w:r>
    </w:p>
    <w:p>
      <w:pPr>
        <w:spacing w:line="360" w:lineRule="auto"/>
        <w:ind w:left="420" w:firstLine="420"/>
      </w:pPr>
      <w:r>
        <w:rPr>
          <w:rFonts w:hint="eastAsia" w:ascii="宋体" w:hAnsi="宋体" w:eastAsia="宋体" w:cs="宋体"/>
          <w:spacing w:val="-12"/>
          <w:sz w:val="28"/>
          <w:szCs w:val="28"/>
          <w14:textOutline w14:w="5105" w14:cap="sq" w14:cmpd="sng" w14:algn="ctr">
            <w14:solidFill>
              <w14:srgbClr w14:val="000000"/>
            </w14:solidFill>
            <w14:prstDash w14:val="solid"/>
            <w14:bevel/>
          </w14:textOutline>
        </w:rPr>
        <w:t>第十五条</w:t>
      </w:r>
      <w:r>
        <w:rPr>
          <w:rFonts w:hint="eastAsia"/>
        </w:rPr>
        <w:t xml:space="preserve">    </w:t>
      </w:r>
      <w:r>
        <w:rPr>
          <w:rFonts w:hint="eastAsia" w:ascii="宋体" w:hAnsi="宋体" w:eastAsia="宋体" w:cs="宋体"/>
          <w:spacing w:val="-2"/>
          <w:sz w:val="28"/>
          <w:szCs w:val="28"/>
        </w:rPr>
        <w:t>基金会的捐赠收入及其他合法收入受法律保护，基金会理事、监事以及专兼职工作人员不得私分、侵占、挪用。</w:t>
      </w:r>
    </w:p>
    <w:p/>
    <w:p>
      <w:pPr>
        <w:numPr>
          <w:ilvl w:val="0"/>
          <w:numId w:val="1"/>
        </w:numPr>
        <w:spacing w:before="91" w:line="220" w:lineRule="auto"/>
        <w:ind w:left="0" w:leftChars="0" w:firstLine="0" w:firstLineChars="0"/>
        <w:jc w:val="center"/>
        <w:rPr>
          <w:rFonts w:hint="eastAsia" w:ascii="宋体" w:hAnsi="宋体" w:eastAsia="宋体" w:cs="宋体"/>
          <w:spacing w:val="-1"/>
          <w:sz w:val="28"/>
          <w:szCs w:val="28"/>
          <w14:textOutline w14:w="5105" w14:cap="sq" w14:cmpd="sng" w14:algn="ctr">
            <w14:solidFill>
              <w14:srgbClr w14:val="000000"/>
            </w14:solidFill>
            <w14:prstDash w14:val="solid"/>
            <w14:bevel/>
          </w14:textOutline>
        </w:rPr>
      </w:pPr>
      <w:r>
        <w:rPr>
          <w:rFonts w:hint="eastAsia" w:ascii="宋体" w:hAnsi="宋体" w:eastAsia="宋体" w:cs="宋体"/>
          <w:spacing w:val="-1"/>
          <w:sz w:val="28"/>
          <w:szCs w:val="28"/>
          <w14:textOutline w14:w="5105" w14:cap="sq" w14:cmpd="sng" w14:algn="ctr">
            <w14:solidFill>
              <w14:srgbClr w14:val="000000"/>
            </w14:solidFill>
            <w14:prstDash w14:val="solid"/>
            <w14:bevel/>
          </w14:textOutline>
        </w:rPr>
        <w:t xml:space="preserve">   支出管理</w:t>
      </w:r>
    </w:p>
    <w:p>
      <w:pPr>
        <w:numPr>
          <w:numId w:val="0"/>
        </w:numPr>
        <w:spacing w:before="91" w:line="220" w:lineRule="auto"/>
        <w:ind w:leftChars="0"/>
        <w:jc w:val="both"/>
        <w:rPr>
          <w:rFonts w:hint="eastAsia" w:ascii="宋体" w:hAnsi="宋体" w:eastAsia="宋体" w:cs="宋体"/>
          <w:spacing w:val="-1"/>
          <w:sz w:val="28"/>
          <w:szCs w:val="28"/>
          <w14:textOutline w14:w="5105" w14:cap="sq" w14:cmpd="sng" w14:algn="ctr">
            <w14:solidFill>
              <w14:srgbClr w14:val="000000"/>
            </w14:solidFill>
            <w14:prstDash w14:val="solid"/>
            <w14:bevel/>
          </w14:textOutline>
        </w:rPr>
      </w:pPr>
    </w:p>
    <w:p>
      <w:pPr>
        <w:spacing w:before="120" w:beforeLines="50" w:line="360" w:lineRule="auto"/>
        <w:ind w:left="420" w:firstLine="420"/>
        <w:rPr>
          <w:rFonts w:ascii="宋体" w:hAnsi="宋体" w:eastAsia="宋体" w:cs="宋体"/>
          <w:spacing w:val="-2"/>
          <w:sz w:val="28"/>
          <w:szCs w:val="28"/>
        </w:rPr>
      </w:pPr>
      <w:r>
        <w:rPr>
          <w:rFonts w:hint="eastAsia" w:ascii="宋体" w:hAnsi="宋体" w:eastAsia="宋体" w:cs="宋体"/>
          <w:spacing w:val="-12"/>
          <w:sz w:val="28"/>
          <w:szCs w:val="28"/>
          <w14:textOutline w14:w="5105" w14:cap="sq" w14:cmpd="sng" w14:algn="ctr">
            <w14:solidFill>
              <w14:srgbClr w14:val="000000"/>
            </w14:solidFill>
            <w14:prstDash w14:val="solid"/>
            <w14:bevel/>
          </w14:textOutline>
        </w:rPr>
        <w:t>第十六条</w:t>
      </w:r>
      <w:r>
        <w:rPr>
          <w:rFonts w:hint="eastAsia"/>
        </w:rPr>
        <w:t xml:space="preserve">    </w:t>
      </w:r>
      <w:r>
        <w:rPr>
          <w:rFonts w:hint="eastAsia" w:ascii="宋体" w:hAnsi="宋体" w:eastAsia="宋体" w:cs="宋体"/>
          <w:spacing w:val="-2"/>
          <w:sz w:val="28"/>
          <w:szCs w:val="28"/>
        </w:rPr>
        <w:t>基金会的财产将严格按照本会章程中业务范围的规定进行使用，不得挪作他用，并严格执行《民间非营利组织会计制度》。</w:t>
      </w:r>
    </w:p>
    <w:p>
      <w:pPr>
        <w:spacing w:line="360" w:lineRule="auto"/>
        <w:ind w:left="420" w:firstLine="420"/>
        <w:rPr>
          <w:rFonts w:ascii="宋体" w:hAnsi="宋体" w:eastAsia="宋体" w:cs="宋体"/>
          <w:spacing w:val="-2"/>
          <w:sz w:val="28"/>
          <w:szCs w:val="28"/>
        </w:rPr>
      </w:pPr>
      <w:r>
        <w:rPr>
          <w:rFonts w:hint="eastAsia" w:ascii="宋体" w:hAnsi="宋体" w:eastAsia="宋体" w:cs="宋体"/>
          <w:spacing w:val="-12"/>
          <w:sz w:val="28"/>
          <w:szCs w:val="28"/>
          <w14:textOutline w14:w="5105" w14:cap="sq" w14:cmpd="sng" w14:algn="ctr">
            <w14:solidFill>
              <w14:srgbClr w14:val="000000"/>
            </w14:solidFill>
            <w14:prstDash w14:val="solid"/>
            <w14:bevel/>
          </w14:textOutline>
        </w:rPr>
        <w:t>第十七条</w:t>
      </w:r>
      <w:r>
        <w:rPr>
          <w:rFonts w:hint="eastAsia"/>
        </w:rPr>
        <w:t xml:space="preserve">    </w:t>
      </w:r>
      <w:r>
        <w:rPr>
          <w:rFonts w:hint="eastAsia" w:ascii="宋体" w:hAnsi="宋体" w:eastAsia="宋体" w:cs="宋体"/>
          <w:spacing w:val="-2"/>
          <w:sz w:val="28"/>
          <w:szCs w:val="28"/>
        </w:rPr>
        <w:t>基金会的支出包括公益事业支出、管理费用、筹资费用和其他费用等。业务活动成本是指为实现章程的业务活动目标、开展项目活动所发生的费用。管理费用是指为组织和管理业务活动所发生的各项费用，包括本基金会的工作人员的工资、奖金等福利性支出，以及办公费、水电费、邮电费、差旅费、招待费、修理费、租赁费、折旧费等办公支出。筹资费用是指为筹集业务活动所需资金而发生的费用。</w:t>
      </w:r>
    </w:p>
    <w:p>
      <w:pPr>
        <w:spacing w:line="360" w:lineRule="auto"/>
        <w:ind w:left="420" w:firstLine="420"/>
      </w:pPr>
      <w:r>
        <w:rPr>
          <w:rFonts w:hint="eastAsia" w:ascii="宋体" w:hAnsi="宋体" w:eastAsia="宋体" w:cs="宋体"/>
          <w:spacing w:val="-12"/>
          <w:sz w:val="28"/>
          <w:szCs w:val="28"/>
          <w14:textOutline w14:w="5105" w14:cap="sq" w14:cmpd="sng" w14:algn="ctr">
            <w14:solidFill>
              <w14:srgbClr w14:val="000000"/>
            </w14:solidFill>
            <w14:prstDash w14:val="solid"/>
            <w14:bevel/>
          </w14:textOutline>
        </w:rPr>
        <w:t>第十八条</w:t>
      </w:r>
      <w:r>
        <w:rPr>
          <w:rFonts w:hint="eastAsia"/>
        </w:rPr>
        <w:t xml:space="preserve">    </w:t>
      </w:r>
      <w:r>
        <w:rPr>
          <w:rFonts w:hint="eastAsia" w:ascii="宋体" w:hAnsi="宋体" w:eastAsia="宋体" w:cs="宋体"/>
          <w:spacing w:val="-2"/>
          <w:sz w:val="28"/>
          <w:szCs w:val="28"/>
        </w:rPr>
        <w:t>基金会接受实物捐赠时，设备物资分配或变卖过程中发生的运输差旅费、执行费、人员劳务费等在设备物资折价中支付。设备物资原则上发生的费用应由基金会承担，属于固定资产管理范畴的实物应按固定资产公允价值建立固定资产台账。</w:t>
      </w:r>
    </w:p>
    <w:p>
      <w:pPr>
        <w:spacing w:line="360" w:lineRule="auto"/>
        <w:ind w:left="420" w:firstLine="420"/>
        <w:rPr>
          <w:rFonts w:ascii="宋体" w:hAnsi="宋体" w:eastAsia="宋体" w:cs="宋体"/>
          <w:spacing w:val="-2"/>
          <w:sz w:val="28"/>
          <w:szCs w:val="28"/>
        </w:rPr>
      </w:pPr>
      <w:r>
        <w:rPr>
          <w:rFonts w:hint="eastAsia" w:ascii="宋体" w:hAnsi="宋体" w:eastAsia="宋体" w:cs="宋体"/>
          <w:spacing w:val="-12"/>
          <w:sz w:val="28"/>
          <w:szCs w:val="28"/>
          <w14:textOutline w14:w="5105" w14:cap="sq" w14:cmpd="sng" w14:algn="ctr">
            <w14:solidFill>
              <w14:srgbClr w14:val="000000"/>
            </w14:solidFill>
            <w14:prstDash w14:val="solid"/>
            <w14:bevel/>
          </w14:textOutline>
        </w:rPr>
        <w:t>第十九条</w:t>
      </w:r>
      <w:r>
        <w:rPr>
          <w:rFonts w:hint="eastAsia"/>
        </w:rPr>
        <w:t xml:space="preserve">    </w:t>
      </w:r>
      <w:r>
        <w:rPr>
          <w:rFonts w:hint="eastAsia" w:ascii="宋体" w:hAnsi="宋体" w:eastAsia="宋体" w:cs="宋体"/>
          <w:spacing w:val="-2"/>
          <w:sz w:val="28"/>
          <w:szCs w:val="28"/>
        </w:rPr>
        <w:t>公益事业支出管理：</w:t>
      </w:r>
    </w:p>
    <w:p>
      <w:pPr>
        <w:spacing w:line="360" w:lineRule="auto"/>
        <w:ind w:left="420" w:firstLine="420"/>
        <w:rPr>
          <w:rFonts w:ascii="宋体" w:hAnsi="宋体" w:eastAsia="宋体" w:cs="宋体"/>
          <w:spacing w:val="-2"/>
          <w:sz w:val="28"/>
          <w:szCs w:val="28"/>
        </w:rPr>
      </w:pPr>
      <w:r>
        <w:rPr>
          <w:rFonts w:hint="eastAsia" w:ascii="宋体" w:hAnsi="宋体" w:eastAsia="宋体" w:cs="宋体"/>
          <w:spacing w:val="-2"/>
          <w:sz w:val="28"/>
          <w:szCs w:val="28"/>
        </w:rPr>
        <w:t>(一) 每年用于从事章程规定的公益事业支出，按照年度慈善活动支出标准执行；</w:t>
      </w:r>
    </w:p>
    <w:p>
      <w:pPr>
        <w:spacing w:line="360" w:lineRule="auto"/>
        <w:ind w:left="420" w:firstLine="420"/>
        <w:rPr>
          <w:rFonts w:ascii="宋体" w:hAnsi="宋体" w:eastAsia="宋体" w:cs="宋体"/>
          <w:spacing w:val="-2"/>
          <w:sz w:val="28"/>
          <w:szCs w:val="28"/>
        </w:rPr>
      </w:pPr>
      <w:r>
        <w:rPr>
          <w:rFonts w:hint="eastAsia" w:ascii="宋体" w:hAnsi="宋体" w:eastAsia="宋体" w:cs="宋体"/>
          <w:spacing w:val="-2"/>
          <w:sz w:val="28"/>
          <w:szCs w:val="28"/>
        </w:rPr>
        <w:t>(二) 属于定向捐赠的项目支出由基金会按照捐赠单位</w:t>
      </w:r>
      <w:r>
        <w:rPr>
          <w:rFonts w:hint="eastAsia" w:ascii="宋体" w:hAnsi="宋体" w:eastAsia="宋体" w:cs="宋体"/>
          <w:spacing w:val="-2"/>
          <w:sz w:val="28"/>
          <w:szCs w:val="28"/>
          <w:lang w:val="en-US" w:eastAsia="zh-CN"/>
        </w:rPr>
        <w:t xml:space="preserve"> </w:t>
      </w:r>
      <w:r>
        <w:rPr>
          <w:rFonts w:hint="eastAsia" w:ascii="宋体" w:hAnsi="宋体" w:eastAsia="宋体" w:cs="宋体"/>
          <w:spacing w:val="-2"/>
          <w:sz w:val="28"/>
          <w:szCs w:val="28"/>
        </w:rPr>
        <w:t>(或捐赠人)</w:t>
      </w:r>
      <w:r>
        <w:rPr>
          <w:rFonts w:hint="eastAsia" w:ascii="宋体" w:hAnsi="宋体" w:eastAsia="宋体" w:cs="宋体"/>
          <w:spacing w:val="-2"/>
          <w:sz w:val="28"/>
          <w:szCs w:val="28"/>
          <w:lang w:val="en-US" w:eastAsia="zh-CN"/>
        </w:rPr>
        <w:t xml:space="preserve"> </w:t>
      </w:r>
      <w:r>
        <w:rPr>
          <w:rFonts w:hint="eastAsia" w:ascii="宋体" w:hAnsi="宋体" w:eastAsia="宋体" w:cs="宋体"/>
          <w:spacing w:val="-2"/>
          <w:sz w:val="28"/>
          <w:szCs w:val="28"/>
        </w:rPr>
        <w:t>与本会签署的捐赠协议执行，捐赠协议在双方负责人签字后生效，凡协议中已列明资金使用范围、金额和支付时间的，在协议生效后即执行；</w:t>
      </w:r>
    </w:p>
    <w:p>
      <w:pPr>
        <w:spacing w:line="360" w:lineRule="auto"/>
        <w:ind w:left="420" w:firstLine="420"/>
        <w:rPr>
          <w:rFonts w:ascii="宋体" w:hAnsi="宋体" w:eastAsia="宋体" w:cs="宋体"/>
          <w:spacing w:val="-2"/>
          <w:sz w:val="28"/>
          <w:szCs w:val="28"/>
        </w:rPr>
      </w:pPr>
      <w:r>
        <w:rPr>
          <w:rFonts w:hint="eastAsia" w:ascii="宋体" w:hAnsi="宋体" w:eastAsia="宋体" w:cs="宋体"/>
          <w:spacing w:val="-2"/>
          <w:sz w:val="28"/>
          <w:szCs w:val="28"/>
        </w:rPr>
        <w:t>(三) 属于非定向捐赠的项目支出需经理事长（或授权秘书长）批准方可执行；</w:t>
      </w:r>
    </w:p>
    <w:p>
      <w:pPr>
        <w:spacing w:line="360" w:lineRule="auto"/>
        <w:ind w:left="420" w:firstLine="420"/>
        <w:rPr>
          <w:rFonts w:ascii="宋体" w:hAnsi="宋体" w:eastAsia="宋体" w:cs="宋体"/>
          <w:spacing w:val="-2"/>
          <w:sz w:val="28"/>
          <w:szCs w:val="28"/>
        </w:rPr>
      </w:pPr>
      <w:r>
        <w:rPr>
          <w:rFonts w:hint="eastAsia" w:ascii="宋体" w:hAnsi="宋体" w:eastAsia="宋体" w:cs="宋体"/>
          <w:spacing w:val="-2"/>
          <w:sz w:val="28"/>
          <w:szCs w:val="28"/>
        </w:rPr>
        <w:t>(四) 基金会财产必须严格按规定用途使用，如执行过程中出现违反规定用途的情况，应当立即停止执行并报理事会裁决。</w:t>
      </w:r>
    </w:p>
    <w:p>
      <w:pPr>
        <w:spacing w:line="360" w:lineRule="auto"/>
        <w:ind w:left="420" w:firstLine="420"/>
        <w:rPr>
          <w:rFonts w:ascii="宋体" w:hAnsi="宋体" w:eastAsia="宋体" w:cs="宋体"/>
          <w:spacing w:val="-2"/>
          <w:sz w:val="28"/>
          <w:szCs w:val="28"/>
        </w:rPr>
      </w:pPr>
      <w:r>
        <w:rPr>
          <w:rFonts w:hint="eastAsia" w:ascii="宋体" w:hAnsi="宋体" w:eastAsia="宋体" w:cs="宋体"/>
          <w:spacing w:val="-12"/>
          <w:sz w:val="28"/>
          <w:szCs w:val="28"/>
          <w14:textOutline w14:w="5105" w14:cap="sq" w14:cmpd="sng" w14:algn="ctr">
            <w14:solidFill>
              <w14:srgbClr w14:val="000000"/>
            </w14:solidFill>
            <w14:prstDash w14:val="solid"/>
            <w14:bevel/>
          </w14:textOutline>
        </w:rPr>
        <w:t>第二十条</w:t>
      </w:r>
      <w:r>
        <w:rPr>
          <w:rFonts w:hint="eastAsia"/>
        </w:rPr>
        <w:t xml:space="preserve">    </w:t>
      </w:r>
      <w:r>
        <w:rPr>
          <w:rFonts w:hint="eastAsia" w:ascii="宋体" w:hAnsi="宋体" w:eastAsia="宋体" w:cs="宋体"/>
          <w:spacing w:val="-2"/>
          <w:sz w:val="28"/>
          <w:szCs w:val="28"/>
        </w:rPr>
        <w:t>项目、费用支出时，在发票或支出单据上盖章签字，单笔金额在15万元以下的支出可由理事长授权秘书长审批；金额在人民币</w:t>
      </w:r>
      <w:r>
        <w:rPr>
          <w:rFonts w:ascii="宋体" w:hAnsi="宋体" w:eastAsia="宋体" w:cs="宋体"/>
          <w:spacing w:val="-2"/>
          <w:sz w:val="28"/>
          <w:szCs w:val="28"/>
        </w:rPr>
        <w:t>15</w:t>
      </w:r>
      <w:r>
        <w:rPr>
          <w:rFonts w:hint="eastAsia" w:ascii="宋体" w:hAnsi="宋体" w:eastAsia="宋体" w:cs="宋体"/>
          <w:spacing w:val="-2"/>
          <w:sz w:val="28"/>
          <w:szCs w:val="28"/>
        </w:rPr>
        <w:t>万元及以上由理事长审批。</w:t>
      </w:r>
    </w:p>
    <w:p>
      <w:pPr>
        <w:spacing w:line="360" w:lineRule="auto"/>
        <w:ind w:left="420" w:firstLine="420"/>
      </w:pPr>
      <w:r>
        <w:rPr>
          <w:rFonts w:hint="eastAsia" w:ascii="宋体" w:hAnsi="宋体" w:eastAsia="宋体" w:cs="宋体"/>
          <w:spacing w:val="-12"/>
          <w:sz w:val="28"/>
          <w:szCs w:val="28"/>
          <w14:textOutline w14:w="5105" w14:cap="sq" w14:cmpd="sng" w14:algn="ctr">
            <w14:solidFill>
              <w14:srgbClr w14:val="000000"/>
            </w14:solidFill>
            <w14:prstDash w14:val="solid"/>
            <w14:bevel/>
          </w14:textOutline>
        </w:rPr>
        <w:t>第二十一条</w:t>
      </w:r>
      <w:r>
        <w:rPr>
          <w:rFonts w:hint="eastAsia"/>
        </w:rPr>
        <w:t xml:space="preserve">    </w:t>
      </w:r>
      <w:r>
        <w:rPr>
          <w:rFonts w:hint="eastAsia" w:ascii="宋体" w:hAnsi="宋体" w:eastAsia="宋体" w:cs="宋体"/>
          <w:spacing w:val="-2"/>
          <w:sz w:val="28"/>
          <w:szCs w:val="28"/>
        </w:rPr>
        <w:t>坏帐准备金的提取：每年年底对应收账款进行全面检查，分析其可收回性，对预计可能发生的坏账损失计提坏帐准备金。财务以书面的形式向理事会提交申请报告，经理事长</w:t>
      </w:r>
      <w:r>
        <w:rPr>
          <w:rFonts w:hint="eastAsia" w:ascii="宋体" w:hAnsi="宋体" w:eastAsia="宋体" w:cs="宋体"/>
          <w:spacing w:val="-2"/>
          <w:sz w:val="28"/>
          <w:szCs w:val="28"/>
          <w:lang w:val="en-US" w:eastAsia="zh-CN"/>
        </w:rPr>
        <w:t xml:space="preserve"> </w:t>
      </w:r>
      <w:r>
        <w:rPr>
          <w:rFonts w:hint="eastAsia" w:ascii="宋体" w:hAnsi="宋体" w:eastAsia="宋体" w:cs="宋体"/>
          <w:spacing w:val="-2"/>
          <w:sz w:val="28"/>
          <w:szCs w:val="28"/>
        </w:rPr>
        <w:t>(或授权秘书长)</w:t>
      </w:r>
      <w:r>
        <w:rPr>
          <w:rFonts w:hint="eastAsia" w:ascii="宋体" w:hAnsi="宋体" w:eastAsia="宋体" w:cs="宋体"/>
          <w:spacing w:val="-2"/>
          <w:sz w:val="28"/>
          <w:szCs w:val="28"/>
          <w:lang w:val="en-US" w:eastAsia="zh-CN"/>
        </w:rPr>
        <w:t xml:space="preserve"> </w:t>
      </w:r>
      <w:r>
        <w:rPr>
          <w:rFonts w:hint="eastAsia" w:ascii="宋体" w:hAnsi="宋体" w:eastAsia="宋体" w:cs="宋体"/>
          <w:spacing w:val="-2"/>
          <w:sz w:val="28"/>
          <w:szCs w:val="28"/>
        </w:rPr>
        <w:t>批准后按时提取。</w:t>
      </w:r>
    </w:p>
    <w:p>
      <w:pPr>
        <w:spacing w:line="360" w:lineRule="auto"/>
        <w:ind w:left="420" w:firstLine="420"/>
        <w:rPr>
          <w:rFonts w:ascii="宋体" w:hAnsi="宋体" w:eastAsia="宋体" w:cs="宋体"/>
          <w:spacing w:val="-2"/>
          <w:sz w:val="28"/>
          <w:szCs w:val="28"/>
        </w:rPr>
      </w:pPr>
      <w:r>
        <w:rPr>
          <w:rFonts w:hint="eastAsia" w:ascii="宋体" w:hAnsi="宋体" w:eastAsia="宋体" w:cs="宋体"/>
          <w:spacing w:val="-12"/>
          <w:sz w:val="28"/>
          <w:szCs w:val="28"/>
          <w14:textOutline w14:w="5105" w14:cap="sq" w14:cmpd="sng" w14:algn="ctr">
            <w14:solidFill>
              <w14:srgbClr w14:val="000000"/>
            </w14:solidFill>
            <w14:prstDash w14:val="solid"/>
            <w14:bevel/>
          </w14:textOutline>
        </w:rPr>
        <w:t>第二十二条</w:t>
      </w:r>
      <w:r>
        <w:rPr>
          <w:rFonts w:hint="eastAsia"/>
        </w:rPr>
        <w:t xml:space="preserve">    </w:t>
      </w:r>
      <w:r>
        <w:rPr>
          <w:rFonts w:hint="eastAsia" w:ascii="宋体" w:hAnsi="宋体" w:eastAsia="宋体" w:cs="宋体"/>
          <w:spacing w:val="-2"/>
          <w:sz w:val="28"/>
          <w:szCs w:val="28"/>
        </w:rPr>
        <w:t>投资跌价准备金的提取：每年年底对每一项投资逐一进行检查,如确认有市价下跌损失的应提取投资跌价资金准备金，财务以书面的形式向理事会提交申请报告，经理事长 (或授权秘书长) 批准后按时提取，以便提高基金会的抗风险能力。</w:t>
      </w:r>
    </w:p>
    <w:p/>
    <w:p>
      <w:pPr>
        <w:numPr>
          <w:ilvl w:val="0"/>
          <w:numId w:val="1"/>
        </w:numPr>
        <w:spacing w:before="91" w:line="220" w:lineRule="auto"/>
        <w:ind w:left="0" w:leftChars="0" w:firstLine="0" w:firstLineChars="0"/>
        <w:jc w:val="center"/>
        <w:rPr>
          <w:rFonts w:hint="eastAsia" w:ascii="宋体" w:hAnsi="宋体" w:eastAsia="宋体" w:cs="宋体"/>
          <w:spacing w:val="-1"/>
          <w:sz w:val="28"/>
          <w:szCs w:val="28"/>
          <w14:textOutline w14:w="5105" w14:cap="sq" w14:cmpd="sng" w14:algn="ctr">
            <w14:solidFill>
              <w14:srgbClr w14:val="000000"/>
            </w14:solidFill>
            <w14:prstDash w14:val="solid"/>
            <w14:bevel/>
          </w14:textOutline>
        </w:rPr>
      </w:pPr>
      <w:r>
        <w:rPr>
          <w:rFonts w:hint="eastAsia" w:ascii="宋体" w:hAnsi="宋体" w:eastAsia="宋体" w:cs="宋体"/>
          <w:spacing w:val="-1"/>
          <w:sz w:val="28"/>
          <w:szCs w:val="28"/>
          <w14:textOutline w14:w="5105" w14:cap="sq" w14:cmpd="sng" w14:algn="ctr">
            <w14:solidFill>
              <w14:srgbClr w14:val="000000"/>
            </w14:solidFill>
            <w14:prstDash w14:val="solid"/>
            <w14:bevel/>
          </w14:textOutline>
        </w:rPr>
        <w:t xml:space="preserve">   资产管理</w:t>
      </w:r>
    </w:p>
    <w:p>
      <w:pPr>
        <w:numPr>
          <w:numId w:val="0"/>
        </w:numPr>
        <w:spacing w:before="91" w:line="220" w:lineRule="auto"/>
        <w:ind w:leftChars="0"/>
        <w:jc w:val="both"/>
        <w:rPr>
          <w:rFonts w:hint="eastAsia" w:ascii="宋体" w:hAnsi="宋体" w:eastAsia="宋体" w:cs="宋体"/>
          <w:spacing w:val="-1"/>
          <w:sz w:val="28"/>
          <w:szCs w:val="28"/>
          <w14:textOutline w14:w="5105" w14:cap="sq" w14:cmpd="sng" w14:algn="ctr">
            <w14:solidFill>
              <w14:srgbClr w14:val="000000"/>
            </w14:solidFill>
            <w14:prstDash w14:val="solid"/>
            <w14:bevel/>
          </w14:textOutline>
        </w:rPr>
      </w:pPr>
    </w:p>
    <w:p>
      <w:pPr>
        <w:spacing w:before="120" w:beforeLines="50" w:line="360" w:lineRule="auto"/>
        <w:ind w:left="420" w:firstLine="420"/>
        <w:rPr>
          <w:rFonts w:ascii="宋体" w:hAnsi="宋体" w:eastAsia="宋体" w:cs="宋体"/>
          <w:spacing w:val="-2"/>
          <w:sz w:val="28"/>
          <w:szCs w:val="28"/>
        </w:rPr>
      </w:pPr>
      <w:r>
        <w:rPr>
          <w:rFonts w:hint="eastAsia" w:ascii="宋体" w:hAnsi="宋体" w:eastAsia="宋体" w:cs="宋体"/>
          <w:spacing w:val="-12"/>
          <w:sz w:val="28"/>
          <w:szCs w:val="28"/>
          <w14:textOutline w14:w="5105" w14:cap="sq" w14:cmpd="sng" w14:algn="ctr">
            <w14:solidFill>
              <w14:srgbClr w14:val="000000"/>
            </w14:solidFill>
            <w14:prstDash w14:val="solid"/>
            <w14:bevel/>
          </w14:textOutline>
        </w:rPr>
        <w:t>第二十三条</w:t>
      </w:r>
      <w:r>
        <w:rPr>
          <w:rFonts w:hint="eastAsia"/>
        </w:rPr>
        <w:t xml:space="preserve">    </w:t>
      </w:r>
      <w:r>
        <w:rPr>
          <w:rFonts w:hint="eastAsia" w:ascii="宋体" w:hAnsi="宋体" w:eastAsia="宋体" w:cs="宋体"/>
          <w:spacing w:val="-2"/>
          <w:sz w:val="28"/>
          <w:szCs w:val="28"/>
        </w:rPr>
        <w:t>资产是基金会拥有或占有的可以用货币计量的经济资源，包括流动资产、固定资产、无形资产和对外投资。</w:t>
      </w:r>
    </w:p>
    <w:p>
      <w:pPr>
        <w:spacing w:line="360" w:lineRule="auto"/>
        <w:ind w:left="420" w:firstLine="420"/>
        <w:rPr>
          <w:rFonts w:ascii="宋体" w:hAnsi="宋体" w:eastAsia="宋体" w:cs="宋体"/>
          <w:spacing w:val="-2"/>
          <w:sz w:val="28"/>
          <w:szCs w:val="28"/>
        </w:rPr>
      </w:pPr>
      <w:r>
        <w:rPr>
          <w:rFonts w:hint="eastAsia" w:ascii="宋体" w:hAnsi="宋体" w:eastAsia="宋体" w:cs="宋体"/>
          <w:spacing w:val="-12"/>
          <w:sz w:val="28"/>
          <w:szCs w:val="28"/>
          <w14:textOutline w14:w="5105" w14:cap="sq" w14:cmpd="sng" w14:algn="ctr">
            <w14:solidFill>
              <w14:srgbClr w14:val="000000"/>
            </w14:solidFill>
            <w14:prstDash w14:val="solid"/>
            <w14:bevel/>
          </w14:textOutline>
        </w:rPr>
        <w:t>第二十四条</w:t>
      </w:r>
      <w:r>
        <w:rPr>
          <w:rFonts w:hint="eastAsia"/>
        </w:rPr>
        <w:t xml:space="preserve">    </w:t>
      </w:r>
      <w:r>
        <w:rPr>
          <w:rFonts w:hint="eastAsia" w:ascii="宋体" w:hAnsi="宋体" w:eastAsia="宋体" w:cs="宋体"/>
          <w:spacing w:val="-2"/>
          <w:sz w:val="28"/>
          <w:szCs w:val="28"/>
        </w:rPr>
        <w:t>现金管理收入现金应及时全额送交财务部门入帐，不得截留、坐支、私分、公款私存，不得用白条抵库，支付现金应符合《货币资金管理制度》规定的使用范围。</w:t>
      </w:r>
    </w:p>
    <w:p>
      <w:pPr>
        <w:spacing w:line="360" w:lineRule="auto"/>
        <w:ind w:left="420" w:firstLine="420"/>
        <w:rPr>
          <w:rFonts w:ascii="宋体" w:hAnsi="宋体" w:eastAsia="宋体" w:cs="宋体"/>
          <w:spacing w:val="-2"/>
          <w:sz w:val="28"/>
          <w:szCs w:val="28"/>
        </w:rPr>
      </w:pPr>
      <w:r>
        <w:rPr>
          <w:rFonts w:hint="eastAsia" w:ascii="宋体" w:hAnsi="宋体" w:eastAsia="宋体" w:cs="宋体"/>
          <w:spacing w:val="-12"/>
          <w:sz w:val="28"/>
          <w:szCs w:val="28"/>
          <w14:textOutline w14:w="5105" w14:cap="sq" w14:cmpd="sng" w14:algn="ctr">
            <w14:solidFill>
              <w14:srgbClr w14:val="000000"/>
            </w14:solidFill>
            <w14:prstDash w14:val="solid"/>
            <w14:bevel/>
          </w14:textOutline>
        </w:rPr>
        <w:t>第二十五条</w:t>
      </w:r>
      <w:r>
        <w:rPr>
          <w:rFonts w:hint="eastAsia"/>
        </w:rPr>
        <w:t xml:space="preserve">    </w:t>
      </w:r>
      <w:r>
        <w:rPr>
          <w:rFonts w:hint="eastAsia" w:ascii="宋体" w:hAnsi="宋体" w:eastAsia="宋体" w:cs="宋体"/>
          <w:spacing w:val="-2"/>
          <w:sz w:val="28"/>
          <w:szCs w:val="28"/>
        </w:rPr>
        <w:t>银行存款及银行帐户管理按照中国人民银行的有关规定，开设和管理本基金会专用的人民币帐户和外汇帐户。银行帐户不得出租、出借或转让给其他单位或个人使用。</w:t>
      </w:r>
    </w:p>
    <w:p>
      <w:pPr>
        <w:spacing w:line="360" w:lineRule="auto"/>
        <w:ind w:left="420" w:firstLine="420"/>
        <w:rPr>
          <w:rFonts w:hint="eastAsia" w:ascii="宋体" w:hAnsi="宋体" w:eastAsia="宋体" w:cs="宋体"/>
          <w:spacing w:val="-2"/>
          <w:sz w:val="28"/>
          <w:szCs w:val="28"/>
          <w:lang w:val="en-US" w:eastAsia="zh-CN"/>
        </w:rPr>
      </w:pPr>
      <w:r>
        <w:rPr>
          <w:rFonts w:hint="eastAsia" w:ascii="宋体" w:hAnsi="宋体" w:eastAsia="宋体" w:cs="宋体"/>
          <w:spacing w:val="-12"/>
          <w:sz w:val="28"/>
          <w:szCs w:val="28"/>
          <w14:textOutline w14:w="5105" w14:cap="sq" w14:cmpd="sng" w14:algn="ctr">
            <w14:solidFill>
              <w14:srgbClr w14:val="000000"/>
            </w14:solidFill>
            <w14:prstDash w14:val="solid"/>
            <w14:bevel/>
          </w14:textOutline>
        </w:rPr>
        <w:t>第二十六条</w:t>
      </w:r>
      <w:r>
        <w:rPr>
          <w:rFonts w:hint="eastAsia"/>
        </w:rPr>
        <w:t xml:space="preserve">    </w:t>
      </w:r>
      <w:r>
        <w:rPr>
          <w:rFonts w:hint="eastAsia" w:ascii="宋体" w:hAnsi="宋体" w:eastAsia="宋体" w:cs="宋体"/>
          <w:spacing w:val="-2"/>
          <w:sz w:val="28"/>
          <w:szCs w:val="28"/>
        </w:rPr>
        <w:t>物资管理对捐赠协议明确了具体使用范围的捐赠物资，根据捐赠协议的约定使用，接受捐赠的物资无法用于符合其宗旨的用途时，可以依法拍卖或者变卖，所得收入用于捐赠目的。</w:t>
      </w:r>
      <w:r>
        <w:rPr>
          <w:rFonts w:hint="eastAsia" w:ascii="宋体" w:hAnsi="宋体" w:eastAsia="宋体" w:cs="宋体"/>
          <w:spacing w:val="-2"/>
          <w:sz w:val="28"/>
          <w:szCs w:val="28"/>
          <w:lang w:val="en-US" w:eastAsia="zh-CN"/>
        </w:rPr>
        <w:t xml:space="preserve">   </w:t>
      </w:r>
    </w:p>
    <w:p>
      <w:pPr>
        <w:spacing w:line="360" w:lineRule="auto"/>
        <w:ind w:left="420" w:firstLine="420"/>
        <w:rPr>
          <w:rFonts w:hint="eastAsia" w:ascii="宋体" w:hAnsi="宋体" w:eastAsia="宋体" w:cs="宋体"/>
          <w:spacing w:val="-2"/>
          <w:sz w:val="28"/>
          <w:szCs w:val="28"/>
          <w:lang w:val="en-US" w:eastAsia="zh-CN"/>
        </w:rPr>
      </w:pPr>
    </w:p>
    <w:p>
      <w:pPr>
        <w:spacing w:line="360" w:lineRule="auto"/>
        <w:ind w:left="420" w:firstLine="420"/>
        <w:rPr>
          <w:rFonts w:hint="default" w:ascii="宋体" w:hAnsi="宋体" w:eastAsia="宋体" w:cs="宋体"/>
          <w:spacing w:val="-2"/>
          <w:sz w:val="28"/>
          <w:szCs w:val="28"/>
          <w:lang w:val="en-US" w:eastAsia="zh-CN"/>
        </w:rPr>
      </w:pPr>
    </w:p>
    <w:p/>
    <w:p>
      <w:pPr>
        <w:numPr>
          <w:ilvl w:val="0"/>
          <w:numId w:val="1"/>
        </w:numPr>
        <w:spacing w:before="91" w:line="220" w:lineRule="auto"/>
        <w:ind w:left="0" w:leftChars="0" w:firstLine="0" w:firstLineChars="0"/>
        <w:jc w:val="center"/>
        <w:rPr>
          <w:rFonts w:hint="eastAsia" w:ascii="宋体" w:hAnsi="宋体" w:eastAsia="宋体" w:cs="宋体"/>
          <w:spacing w:val="-1"/>
          <w:sz w:val="28"/>
          <w:szCs w:val="28"/>
          <w14:textOutline w14:w="5105" w14:cap="sq" w14:cmpd="sng" w14:algn="ctr">
            <w14:solidFill>
              <w14:srgbClr w14:val="000000"/>
            </w14:solidFill>
            <w14:prstDash w14:val="solid"/>
            <w14:bevel/>
          </w14:textOutline>
        </w:rPr>
      </w:pPr>
      <w:r>
        <w:rPr>
          <w:rFonts w:hint="eastAsia" w:ascii="宋体" w:hAnsi="宋体" w:eastAsia="宋体" w:cs="宋体"/>
          <w:spacing w:val="-1"/>
          <w:sz w:val="28"/>
          <w:szCs w:val="28"/>
          <w14:textOutline w14:w="5105" w14:cap="sq" w14:cmpd="sng" w14:algn="ctr">
            <w14:solidFill>
              <w14:srgbClr w14:val="000000"/>
            </w14:solidFill>
            <w14:prstDash w14:val="solid"/>
            <w14:bevel/>
          </w14:textOutline>
        </w:rPr>
        <w:t xml:space="preserve">   财务监督</w:t>
      </w:r>
    </w:p>
    <w:p>
      <w:pPr>
        <w:numPr>
          <w:numId w:val="0"/>
        </w:numPr>
        <w:spacing w:before="91" w:line="220" w:lineRule="auto"/>
        <w:ind w:leftChars="0"/>
        <w:jc w:val="both"/>
        <w:rPr>
          <w:rFonts w:hint="eastAsia" w:ascii="宋体" w:hAnsi="宋体" w:eastAsia="宋体" w:cs="宋体"/>
          <w:spacing w:val="-1"/>
          <w:sz w:val="28"/>
          <w:szCs w:val="28"/>
          <w14:textOutline w14:w="5105" w14:cap="sq" w14:cmpd="sng" w14:algn="ctr">
            <w14:solidFill>
              <w14:srgbClr w14:val="000000"/>
            </w14:solidFill>
            <w14:prstDash w14:val="solid"/>
            <w14:bevel/>
          </w14:textOutline>
        </w:rPr>
      </w:pPr>
    </w:p>
    <w:p>
      <w:pPr>
        <w:spacing w:before="120" w:beforeLines="50" w:line="360" w:lineRule="auto"/>
        <w:ind w:left="420" w:firstLine="420"/>
        <w:rPr>
          <w:rFonts w:ascii="宋体" w:hAnsi="宋体" w:eastAsia="宋体" w:cs="宋体"/>
          <w:spacing w:val="-2"/>
          <w:sz w:val="28"/>
          <w:szCs w:val="28"/>
        </w:rPr>
      </w:pPr>
      <w:r>
        <w:rPr>
          <w:rFonts w:hint="eastAsia" w:ascii="宋体" w:hAnsi="宋体" w:eastAsia="宋体" w:cs="宋体"/>
          <w:spacing w:val="-12"/>
          <w:sz w:val="28"/>
          <w:szCs w:val="28"/>
          <w14:textOutline w14:w="5105" w14:cap="sq" w14:cmpd="sng" w14:algn="ctr">
            <w14:solidFill>
              <w14:srgbClr w14:val="000000"/>
            </w14:solidFill>
            <w14:prstDash w14:val="solid"/>
            <w14:bevel/>
          </w14:textOutline>
        </w:rPr>
        <w:t>第二十七条</w:t>
      </w:r>
      <w:r>
        <w:rPr>
          <w:rFonts w:hint="eastAsia"/>
        </w:rPr>
        <w:t xml:space="preserve">    </w:t>
      </w:r>
      <w:r>
        <w:rPr>
          <w:rFonts w:hint="eastAsia" w:ascii="宋体" w:hAnsi="宋体" w:eastAsia="宋体" w:cs="宋体"/>
          <w:spacing w:val="-2"/>
          <w:sz w:val="28"/>
          <w:szCs w:val="28"/>
        </w:rPr>
        <w:t>捐赠收支均由监事会监督以保证严格执行捐赠协议，如协议执行过程中出现违反捐赠协议精神的情况，监事会有权通知财务部停止资助项目的支付并报告捐赠单位、捐赠人及理事会裁决。在理事会闭会期间报告理事长或经授权的秘书长裁决，但须提交下一次理事会予以认可。</w:t>
      </w:r>
    </w:p>
    <w:p>
      <w:pPr>
        <w:spacing w:before="120" w:beforeLines="50" w:line="360" w:lineRule="auto"/>
        <w:ind w:left="420" w:firstLine="420"/>
        <w:rPr>
          <w:rFonts w:ascii="宋体" w:hAnsi="宋体" w:eastAsia="宋体" w:cs="宋体"/>
          <w:spacing w:val="-2"/>
          <w:sz w:val="28"/>
          <w:szCs w:val="28"/>
        </w:rPr>
      </w:pPr>
      <w:r>
        <w:rPr>
          <w:rFonts w:hint="eastAsia" w:ascii="宋体" w:hAnsi="宋体" w:eastAsia="宋体" w:cs="宋体"/>
          <w:spacing w:val="-12"/>
          <w:sz w:val="28"/>
          <w:szCs w:val="28"/>
          <w14:textOutline w14:w="5105" w14:cap="sq" w14:cmpd="sng" w14:algn="ctr">
            <w14:solidFill>
              <w14:srgbClr w14:val="000000"/>
            </w14:solidFill>
            <w14:prstDash w14:val="solid"/>
            <w14:bevel/>
          </w14:textOutline>
        </w:rPr>
        <w:t>第二十八条</w:t>
      </w:r>
      <w:r>
        <w:rPr>
          <w:rFonts w:hint="eastAsia"/>
        </w:rPr>
        <w:t xml:space="preserve">    </w:t>
      </w:r>
      <w:r>
        <w:rPr>
          <w:rFonts w:hint="eastAsia" w:ascii="宋体" w:hAnsi="宋体" w:eastAsia="宋体" w:cs="宋体"/>
          <w:spacing w:val="-2"/>
          <w:sz w:val="28"/>
          <w:szCs w:val="28"/>
        </w:rPr>
        <w:t>按照协议要求，定期向捐赠单位</w:t>
      </w:r>
      <w:r>
        <w:rPr>
          <w:rFonts w:hint="eastAsia" w:ascii="宋体" w:hAnsi="宋体" w:eastAsia="宋体" w:cs="宋体"/>
          <w:spacing w:val="-2"/>
          <w:sz w:val="28"/>
          <w:szCs w:val="28"/>
          <w:lang w:val="en-US" w:eastAsia="zh-CN"/>
        </w:rPr>
        <w:t xml:space="preserve"> </w:t>
      </w:r>
      <w:r>
        <w:rPr>
          <w:rFonts w:hint="eastAsia" w:ascii="宋体" w:hAnsi="宋体" w:eastAsia="宋体" w:cs="宋体"/>
          <w:spacing w:val="-2"/>
          <w:sz w:val="28"/>
          <w:szCs w:val="28"/>
        </w:rPr>
        <w:t>(捐赠人)</w:t>
      </w:r>
      <w:r>
        <w:rPr>
          <w:rFonts w:hint="eastAsia" w:ascii="宋体" w:hAnsi="宋体" w:eastAsia="宋体" w:cs="宋体"/>
          <w:spacing w:val="-2"/>
          <w:sz w:val="28"/>
          <w:szCs w:val="28"/>
          <w:lang w:val="en-US" w:eastAsia="zh-CN"/>
        </w:rPr>
        <w:t xml:space="preserve"> </w:t>
      </w:r>
      <w:r>
        <w:rPr>
          <w:rFonts w:hint="eastAsia" w:ascii="宋体" w:hAnsi="宋体" w:eastAsia="宋体" w:cs="宋体"/>
          <w:spacing w:val="-2"/>
          <w:sz w:val="28"/>
          <w:szCs w:val="28"/>
        </w:rPr>
        <w:t>报告该基金的使用情况，每年定期公布收支账目。</w:t>
      </w:r>
    </w:p>
    <w:p>
      <w:pPr>
        <w:spacing w:before="120" w:beforeLines="50" w:line="360" w:lineRule="auto"/>
        <w:ind w:left="420" w:firstLine="420"/>
        <w:rPr>
          <w:rFonts w:ascii="宋体" w:hAnsi="宋体" w:eastAsia="宋体" w:cs="宋体"/>
          <w:spacing w:val="-2"/>
          <w:sz w:val="28"/>
          <w:szCs w:val="28"/>
        </w:rPr>
      </w:pPr>
      <w:r>
        <w:rPr>
          <w:rFonts w:hint="eastAsia" w:ascii="宋体" w:hAnsi="宋体" w:eastAsia="宋体" w:cs="宋体"/>
          <w:spacing w:val="-12"/>
          <w:sz w:val="28"/>
          <w:szCs w:val="28"/>
          <w14:textOutline w14:w="5105" w14:cap="sq" w14:cmpd="sng" w14:algn="ctr">
            <w14:solidFill>
              <w14:srgbClr w14:val="000000"/>
            </w14:solidFill>
            <w14:prstDash w14:val="solid"/>
            <w14:bevel/>
          </w14:textOutline>
        </w:rPr>
        <w:t>第二十九条</w:t>
      </w:r>
      <w:r>
        <w:rPr>
          <w:rFonts w:hint="eastAsia"/>
        </w:rPr>
        <w:t xml:space="preserve">    </w:t>
      </w:r>
      <w:r>
        <w:rPr>
          <w:rFonts w:hint="eastAsia" w:ascii="宋体" w:hAnsi="宋体" w:eastAsia="宋体" w:cs="宋体"/>
          <w:spacing w:val="-2"/>
          <w:sz w:val="28"/>
          <w:szCs w:val="28"/>
        </w:rPr>
        <w:t>必须建立健全会计档案管理制度，对各种会计凭证和档案资料应妥善保管，档案的保管期限和要求，严格按照国家现行规定执行。</w:t>
      </w:r>
    </w:p>
    <w:p>
      <w:pPr>
        <w:spacing w:line="360" w:lineRule="auto"/>
        <w:ind w:left="420" w:firstLine="420"/>
      </w:pPr>
      <w:r>
        <w:rPr>
          <w:rFonts w:hint="eastAsia" w:ascii="宋体" w:hAnsi="宋体" w:eastAsia="宋体" w:cs="宋体"/>
          <w:spacing w:val="-12"/>
          <w:sz w:val="28"/>
          <w:szCs w:val="28"/>
          <w14:textOutline w14:w="5105" w14:cap="sq" w14:cmpd="sng" w14:algn="ctr">
            <w14:solidFill>
              <w14:srgbClr w14:val="000000"/>
            </w14:solidFill>
            <w14:prstDash w14:val="solid"/>
            <w14:bevel/>
          </w14:textOutline>
        </w:rPr>
        <w:t>第三十条</w:t>
      </w:r>
      <w:r>
        <w:rPr>
          <w:rFonts w:hint="eastAsia"/>
        </w:rPr>
        <w:t xml:space="preserve">    </w:t>
      </w:r>
      <w:r>
        <w:rPr>
          <w:rFonts w:hint="eastAsia" w:ascii="宋体" w:hAnsi="宋体" w:eastAsia="宋体" w:cs="宋体"/>
          <w:spacing w:val="-2"/>
          <w:sz w:val="28"/>
          <w:szCs w:val="28"/>
        </w:rPr>
        <w:t>接受税务、会计主管部门的税务监督和会计监督。</w:t>
      </w:r>
    </w:p>
    <w:p>
      <w:pPr>
        <w:spacing w:line="360" w:lineRule="auto"/>
        <w:ind w:left="420" w:firstLine="420"/>
        <w:rPr>
          <w:rFonts w:ascii="宋体" w:hAnsi="宋体" w:eastAsia="宋体" w:cs="宋体"/>
          <w:spacing w:val="-2"/>
          <w:sz w:val="28"/>
          <w:szCs w:val="28"/>
        </w:rPr>
      </w:pPr>
      <w:r>
        <w:rPr>
          <w:rFonts w:hint="eastAsia" w:ascii="宋体" w:hAnsi="宋体" w:eastAsia="宋体" w:cs="宋体"/>
          <w:spacing w:val="-12"/>
          <w:sz w:val="28"/>
          <w:szCs w:val="28"/>
          <w14:textOutline w14:w="5105" w14:cap="sq" w14:cmpd="sng" w14:algn="ctr">
            <w14:solidFill>
              <w14:srgbClr w14:val="000000"/>
            </w14:solidFill>
            <w14:prstDash w14:val="solid"/>
            <w14:bevel/>
          </w14:textOutline>
        </w:rPr>
        <w:t>第三十一条</w:t>
      </w:r>
      <w:r>
        <w:rPr>
          <w:rFonts w:hint="eastAsia"/>
        </w:rPr>
        <w:t xml:space="preserve">    </w:t>
      </w:r>
      <w:r>
        <w:rPr>
          <w:rFonts w:hint="eastAsia" w:ascii="宋体" w:hAnsi="宋体" w:eastAsia="宋体" w:cs="宋体"/>
          <w:spacing w:val="-2"/>
          <w:sz w:val="28"/>
          <w:szCs w:val="28"/>
        </w:rPr>
        <w:t>每年由会计师事务所对基金会帐目进行审计，并出具审计报告；基金会每年向业务主管部门及民政部门报告财务收支活动，接受业务主管部门、民政部门和税务部门的监督和年度检查。</w:t>
      </w:r>
    </w:p>
    <w:p/>
    <w:p>
      <w:pPr>
        <w:numPr>
          <w:ilvl w:val="0"/>
          <w:numId w:val="1"/>
        </w:numPr>
        <w:spacing w:before="91" w:line="220" w:lineRule="auto"/>
        <w:ind w:left="0" w:leftChars="0" w:firstLine="0" w:firstLineChars="0"/>
        <w:jc w:val="center"/>
        <w:rPr>
          <w:rFonts w:hint="eastAsia" w:ascii="宋体" w:hAnsi="宋体" w:eastAsia="宋体" w:cs="宋体"/>
          <w:spacing w:val="-1"/>
          <w:sz w:val="28"/>
          <w:szCs w:val="28"/>
          <w14:textOutline w14:w="5105" w14:cap="sq" w14:cmpd="sng" w14:algn="ctr">
            <w14:solidFill>
              <w14:srgbClr w14:val="000000"/>
            </w14:solidFill>
            <w14:prstDash w14:val="solid"/>
            <w14:bevel/>
          </w14:textOutline>
        </w:rPr>
      </w:pPr>
      <w:r>
        <w:rPr>
          <w:rFonts w:hint="eastAsia" w:ascii="宋体" w:hAnsi="宋体" w:eastAsia="宋体" w:cs="宋体"/>
          <w:spacing w:val="-1"/>
          <w:sz w:val="28"/>
          <w:szCs w:val="28"/>
          <w14:textOutline w14:w="5105" w14:cap="sq" w14:cmpd="sng" w14:algn="ctr">
            <w14:solidFill>
              <w14:srgbClr w14:val="000000"/>
            </w14:solidFill>
            <w14:prstDash w14:val="solid"/>
            <w14:bevel/>
          </w14:textOutline>
        </w:rPr>
        <w:t xml:space="preserve">   财务会计报告</w:t>
      </w:r>
    </w:p>
    <w:p>
      <w:pPr>
        <w:numPr>
          <w:numId w:val="0"/>
        </w:numPr>
        <w:spacing w:before="91" w:line="220" w:lineRule="auto"/>
        <w:ind w:leftChars="0"/>
        <w:jc w:val="both"/>
        <w:rPr>
          <w:rFonts w:hint="eastAsia" w:ascii="宋体" w:hAnsi="宋体" w:eastAsia="宋体" w:cs="宋体"/>
          <w:spacing w:val="-1"/>
          <w:sz w:val="28"/>
          <w:szCs w:val="28"/>
          <w14:textOutline w14:w="5105" w14:cap="sq" w14:cmpd="sng" w14:algn="ctr">
            <w14:solidFill>
              <w14:srgbClr w14:val="000000"/>
            </w14:solidFill>
            <w14:prstDash w14:val="solid"/>
            <w14:bevel/>
          </w14:textOutline>
        </w:rPr>
      </w:pPr>
    </w:p>
    <w:p>
      <w:pPr>
        <w:spacing w:before="120" w:beforeLines="50" w:line="360" w:lineRule="auto"/>
        <w:ind w:left="420" w:firstLine="420"/>
      </w:pPr>
      <w:r>
        <w:rPr>
          <w:rFonts w:hint="eastAsia" w:ascii="宋体" w:hAnsi="宋体" w:eastAsia="宋体" w:cs="宋体"/>
          <w:spacing w:val="-12"/>
          <w:sz w:val="28"/>
          <w:szCs w:val="28"/>
          <w14:textOutline w14:w="5105" w14:cap="sq" w14:cmpd="sng" w14:algn="ctr">
            <w14:solidFill>
              <w14:srgbClr w14:val="000000"/>
            </w14:solidFill>
            <w14:prstDash w14:val="solid"/>
            <w14:bevel/>
          </w14:textOutline>
        </w:rPr>
        <w:t>第三十二条</w:t>
      </w:r>
      <w:r>
        <w:rPr>
          <w:rFonts w:hint="eastAsia"/>
        </w:rPr>
        <w:t xml:space="preserve">    </w:t>
      </w:r>
      <w:r>
        <w:rPr>
          <w:rFonts w:hint="eastAsia" w:ascii="宋体" w:hAnsi="宋体" w:eastAsia="宋体" w:cs="宋体"/>
          <w:spacing w:val="-2"/>
          <w:sz w:val="28"/>
          <w:szCs w:val="28"/>
        </w:rPr>
        <w:t>基金会的财务会计报告是基金会业务状况和财务状况的年度总结，财务报告由会计报表和财务分析报告组成，编制会计报告时必须严格遵循内容完整、数字真实、报送及时、说明清楚的要求，会计报表包括资产负债表、业务活动情况表和现金流量表；财务分析是运用会计报表有关资料对年度财务收支、预算执行情况进行分析、比较和评价。</w:t>
      </w:r>
    </w:p>
    <w:p>
      <w:pPr>
        <w:ind w:left="420" w:firstLine="420"/>
      </w:pPr>
    </w:p>
    <w:p>
      <w:pPr>
        <w:numPr>
          <w:ilvl w:val="0"/>
          <w:numId w:val="1"/>
        </w:numPr>
        <w:spacing w:before="91" w:line="220" w:lineRule="auto"/>
        <w:ind w:left="0" w:leftChars="0" w:firstLine="0" w:firstLineChars="0"/>
        <w:jc w:val="center"/>
        <w:rPr>
          <w:rFonts w:hint="eastAsia" w:ascii="宋体" w:hAnsi="宋体" w:eastAsia="宋体" w:cs="宋体"/>
          <w:spacing w:val="-1"/>
          <w:sz w:val="28"/>
          <w:szCs w:val="28"/>
          <w14:textOutline w14:w="5105" w14:cap="sq" w14:cmpd="sng" w14:algn="ctr">
            <w14:solidFill>
              <w14:srgbClr w14:val="000000"/>
            </w14:solidFill>
            <w14:prstDash w14:val="solid"/>
            <w14:bevel/>
          </w14:textOutline>
        </w:rPr>
      </w:pPr>
      <w:r>
        <w:rPr>
          <w:rFonts w:hint="eastAsia" w:ascii="宋体" w:hAnsi="宋体" w:eastAsia="宋体" w:cs="宋体"/>
          <w:spacing w:val="-1"/>
          <w:sz w:val="28"/>
          <w:szCs w:val="28"/>
          <w14:textOutline w14:w="5105" w14:cap="sq" w14:cmpd="sng" w14:algn="ctr">
            <w14:solidFill>
              <w14:srgbClr w14:val="000000"/>
            </w14:solidFill>
            <w14:prstDash w14:val="solid"/>
            <w14:bevel/>
          </w14:textOutline>
        </w:rPr>
        <w:t xml:space="preserve">   附 则</w:t>
      </w:r>
    </w:p>
    <w:p>
      <w:pPr>
        <w:numPr>
          <w:numId w:val="0"/>
        </w:numPr>
        <w:spacing w:before="91" w:line="220" w:lineRule="auto"/>
        <w:ind w:leftChars="0"/>
        <w:jc w:val="both"/>
        <w:rPr>
          <w:rFonts w:hint="eastAsia" w:ascii="宋体" w:hAnsi="宋体" w:eastAsia="宋体" w:cs="宋体"/>
          <w:spacing w:val="-1"/>
          <w:sz w:val="28"/>
          <w:szCs w:val="28"/>
          <w14:textOutline w14:w="5105" w14:cap="sq" w14:cmpd="sng" w14:algn="ctr">
            <w14:solidFill>
              <w14:srgbClr w14:val="000000"/>
            </w14:solidFill>
            <w14:prstDash w14:val="solid"/>
            <w14:bevel/>
          </w14:textOutline>
        </w:rPr>
      </w:pPr>
      <w:bookmarkStart w:id="0" w:name="_GoBack"/>
      <w:bookmarkEnd w:id="0"/>
    </w:p>
    <w:p>
      <w:pPr>
        <w:spacing w:before="120" w:beforeLines="50" w:line="360" w:lineRule="auto"/>
        <w:ind w:left="420" w:firstLine="420"/>
      </w:pPr>
      <w:r>
        <w:rPr>
          <w:rFonts w:hint="eastAsia" w:ascii="宋体" w:hAnsi="宋体" w:eastAsia="宋体" w:cs="宋体"/>
          <w:spacing w:val="-12"/>
          <w:sz w:val="28"/>
          <w:szCs w:val="28"/>
          <w14:textOutline w14:w="5105" w14:cap="sq" w14:cmpd="sng" w14:algn="ctr">
            <w14:solidFill>
              <w14:srgbClr w14:val="000000"/>
            </w14:solidFill>
            <w14:prstDash w14:val="solid"/>
            <w14:bevel/>
          </w14:textOutline>
        </w:rPr>
        <w:t>第三十三条</w:t>
      </w:r>
      <w:r>
        <w:rPr>
          <w:rFonts w:hint="eastAsia"/>
        </w:rPr>
        <w:t xml:space="preserve">    </w:t>
      </w:r>
      <w:r>
        <w:rPr>
          <w:rFonts w:hint="eastAsia" w:ascii="宋体" w:hAnsi="宋体" w:eastAsia="宋体" w:cs="宋体"/>
          <w:spacing w:val="-2"/>
          <w:sz w:val="28"/>
          <w:szCs w:val="28"/>
        </w:rPr>
        <w:t>本制度未尽事宜，依据《基金会管理条例》和本基金会章程的规定办理。</w:t>
      </w:r>
    </w:p>
    <w:p>
      <w:pPr>
        <w:spacing w:line="360" w:lineRule="auto"/>
        <w:ind w:left="420" w:firstLine="420"/>
      </w:pPr>
      <w:r>
        <w:rPr>
          <w:rFonts w:hint="eastAsia" w:ascii="宋体" w:hAnsi="宋体" w:eastAsia="宋体" w:cs="宋体"/>
          <w:spacing w:val="-12"/>
          <w:sz w:val="28"/>
          <w:szCs w:val="28"/>
          <w14:textOutline w14:w="5105" w14:cap="sq" w14:cmpd="sng" w14:algn="ctr">
            <w14:solidFill>
              <w14:srgbClr w14:val="000000"/>
            </w14:solidFill>
            <w14:prstDash w14:val="solid"/>
            <w14:bevel/>
          </w14:textOutline>
        </w:rPr>
        <w:t>第三十四条</w:t>
      </w:r>
      <w:r>
        <w:rPr>
          <w:rFonts w:hint="eastAsia"/>
        </w:rPr>
        <w:t xml:space="preserve">    </w:t>
      </w:r>
      <w:r>
        <w:rPr>
          <w:rFonts w:hint="eastAsia" w:ascii="宋体" w:hAnsi="宋体" w:eastAsia="宋体" w:cs="宋体"/>
          <w:spacing w:val="-2"/>
          <w:sz w:val="28"/>
          <w:szCs w:val="28"/>
        </w:rPr>
        <w:t>本制度自第一届理事会第二次会议通过之日起执行，由理事会负责解释。</w:t>
      </w:r>
    </w:p>
    <w:p>
      <w:pPr>
        <w:spacing w:before="91" w:line="352" w:lineRule="auto"/>
        <w:ind w:right="749"/>
        <w:jc w:val="right"/>
        <w:rPr>
          <w:rFonts w:ascii="宋体" w:hAnsi="宋体" w:eastAsia="宋体" w:cs="宋体"/>
          <w:spacing w:val="-2"/>
          <w:sz w:val="28"/>
          <w:szCs w:val="28"/>
        </w:rPr>
      </w:pPr>
      <w:r>
        <w:rPr>
          <w:rFonts w:hint="eastAsia" w:ascii="宋体" w:hAnsi="宋体" w:eastAsia="宋体" w:cs="宋体"/>
          <w:spacing w:val="-2"/>
          <w:sz w:val="28"/>
          <w:szCs w:val="28"/>
        </w:rPr>
        <w:t xml:space="preserve">上海申江医学科技发展基金会 </w:t>
      </w:r>
    </w:p>
    <w:p>
      <w:pPr>
        <w:spacing w:before="91" w:line="352" w:lineRule="auto"/>
        <w:ind w:right="749"/>
        <w:jc w:val="right"/>
        <w:rPr>
          <w:rFonts w:ascii="宋体" w:hAnsi="宋体" w:eastAsia="宋体" w:cs="宋体"/>
          <w:spacing w:val="-2"/>
          <w:sz w:val="28"/>
          <w:szCs w:val="28"/>
        </w:rPr>
      </w:pPr>
      <w:r>
        <w:rPr>
          <w:rFonts w:hint="eastAsia" w:ascii="宋体" w:hAnsi="宋体" w:eastAsia="宋体" w:cs="宋体"/>
          <w:spacing w:val="-2"/>
          <w:sz w:val="28"/>
          <w:szCs w:val="28"/>
        </w:rPr>
        <w:t xml:space="preserve">2023 年 </w:t>
      </w:r>
      <w:r>
        <w:rPr>
          <w:rFonts w:ascii="宋体" w:hAnsi="宋体" w:eastAsia="宋体" w:cs="宋体"/>
          <w:spacing w:val="-2"/>
          <w:sz w:val="28"/>
          <w:szCs w:val="28"/>
        </w:rPr>
        <w:t>6</w:t>
      </w:r>
      <w:r>
        <w:rPr>
          <w:rFonts w:hint="eastAsia" w:ascii="宋体" w:hAnsi="宋体" w:eastAsia="宋体" w:cs="宋体"/>
          <w:spacing w:val="-2"/>
          <w:sz w:val="28"/>
          <w:szCs w:val="28"/>
        </w:rPr>
        <w:t xml:space="preserve"> 月 </w:t>
      </w:r>
      <w:r>
        <w:rPr>
          <w:rFonts w:ascii="宋体" w:hAnsi="宋体" w:eastAsia="宋体" w:cs="宋体"/>
          <w:spacing w:val="-2"/>
          <w:sz w:val="28"/>
          <w:szCs w:val="28"/>
        </w:rPr>
        <w:t>15</w:t>
      </w:r>
      <w:r>
        <w:rPr>
          <w:rFonts w:hint="eastAsia" w:ascii="宋体" w:hAnsi="宋体" w:eastAsia="宋体" w:cs="宋体"/>
          <w:spacing w:val="-2"/>
          <w:sz w:val="28"/>
          <w:szCs w:val="28"/>
        </w:rPr>
        <w:t xml:space="preserve"> 日</w:t>
      </w:r>
    </w:p>
    <w:p/>
    <w:sectPr>
      <w:headerReference r:id="rId3" w:type="default"/>
      <w:footerReference r:id="rId4" w:type="default"/>
      <w:pgSz w:w="11906" w:h="16838"/>
      <w:pgMar w:top="998" w:right="737" w:bottom="850" w:left="998" w:header="283" w:footer="283"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posOffset>3194050</wp:posOffset>
              </wp:positionH>
              <wp:positionV relativeFrom="paragraph">
                <wp:posOffset>-152400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51.5pt;margin-top:-12pt;height:144pt;width:144pt;mso-position-horizontal-relative:margin;mso-wrap-style:none;z-index:251659264;mso-width-relative:page;mso-height-relative:page;" filled="f" stroked="f" coordsize="21600,21600" o:gfxdata="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4sgqG2AAAAAsBAAAPAAAAAAAAAAEAIAAAACIAAABkcnMvZG93bnJldi54bWxQSwECFAAU&#10;AAAACACHTuJAjNcOfCoCAABVBAAADgAAAAAAAAABACAAAAAnAQAAZHJzL2Uyb0RvYy54bWxQSwUG&#10;AAAAAAYABgBZAQAAww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pBdr>
        <w:bottom w:val="none" w:color="auto" w:sz="0" w:space="0"/>
      </w:pBdr>
      <w:kinsoku w:val="0"/>
      <w:wordWrap/>
      <w:overflowPunct/>
      <w:topLinePunct w:val="0"/>
      <w:autoSpaceDE w:val="0"/>
      <w:autoSpaceDN w:val="0"/>
      <w:bidi w:val="0"/>
      <w:adjustRightInd w:val="0"/>
      <w:snapToGrid w:val="0"/>
      <w:spacing w:before="192" w:after="0" w:afterLines="50" w:line="178" w:lineRule="auto"/>
      <w:jc w:val="center"/>
      <w:textAlignment w:val="baseline"/>
      <w:rPr>
        <w:rFonts w:ascii="微软雅黑" w:hAnsi="微软雅黑" w:eastAsia="微软雅黑" w:cs="微软雅黑"/>
        <w:color w:val="FF0000"/>
        <w:spacing w:val="104"/>
        <w:sz w:val="40"/>
        <w:szCs w:val="40"/>
        <w14:textOutline w14:w="6350" w14:cap="flat" w14:cmpd="sng">
          <w14:solidFill>
            <w14:srgbClr w14:val="FF0000"/>
          </w14:solidFill>
          <w14:prstDash w14:val="solid"/>
          <w14:miter w14:val="0"/>
        </w14:textOutline>
      </w:rPr>
    </w:pPr>
    <w:r>
      <w:drawing>
        <wp:anchor distT="0" distB="0" distL="114935" distR="114935" simplePos="0" relativeHeight="251660288" behindDoc="0" locked="0" layoutInCell="1" allowOverlap="1">
          <wp:simplePos x="0" y="0"/>
          <wp:positionH relativeFrom="column">
            <wp:posOffset>109855</wp:posOffset>
          </wp:positionH>
          <wp:positionV relativeFrom="paragraph">
            <wp:posOffset>28575</wp:posOffset>
          </wp:positionV>
          <wp:extent cx="640715" cy="640715"/>
          <wp:effectExtent l="0" t="0" r="6985" b="6985"/>
          <wp:wrapSquare wrapText="bothSides"/>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a:picLocks noChangeAspect="1"/>
                  </pic:cNvPicPr>
                </pic:nvPicPr>
                <pic:blipFill>
                  <a:blip r:embed="rId1"/>
                  <a:stretch>
                    <a:fillRect/>
                  </a:stretch>
                </pic:blipFill>
                <pic:spPr>
                  <a:xfrm rot="21600000">
                    <a:off x="0" y="0"/>
                    <a:ext cx="640715" cy="640715"/>
                  </a:xfrm>
                  <a:prstGeom prst="rect">
                    <a:avLst/>
                  </a:prstGeom>
                </pic:spPr>
              </pic:pic>
            </a:graphicData>
          </a:graphic>
        </wp:anchor>
      </w:drawing>
    </w:r>
    <w:r>
      <w:rPr>
        <w:rFonts w:hint="eastAsia" w:ascii="微软雅黑" w:hAnsi="微软雅黑" w:eastAsia="微软雅黑" w:cs="微软雅黑"/>
        <w:color w:val="FF0000"/>
        <w:spacing w:val="109"/>
        <w:sz w:val="47"/>
        <w:szCs w:val="47"/>
        <w:lang w:val="en-US" w:eastAsia="zh-CN"/>
        <w14:textOutline w14:w="6350" w14:cap="flat" w14:cmpd="sng">
          <w14:solidFill>
            <w14:srgbClr w14:val="FF0000"/>
          </w14:solidFill>
          <w14:prstDash w14:val="solid"/>
          <w14:miter w14:val="0"/>
        </w14:textOutline>
      </w:rPr>
      <w:t xml:space="preserve"> </w:t>
    </w:r>
    <w:r>
      <w:rPr>
        <w:rFonts w:ascii="微软雅黑" w:hAnsi="微软雅黑" w:eastAsia="微软雅黑" w:cs="微软雅黑"/>
        <w:color w:val="FF0000"/>
        <w:spacing w:val="109"/>
        <w:sz w:val="40"/>
        <w:szCs w:val="40"/>
        <w14:textOutline w14:w="6350" w14:cap="flat" w14:cmpd="sng">
          <w14:solidFill>
            <w14:srgbClr w14:val="FF0000"/>
          </w14:solidFill>
          <w14:prstDash w14:val="solid"/>
          <w14:miter w14:val="0"/>
        </w14:textOutline>
      </w:rPr>
      <w:t>上</w:t>
    </w:r>
    <w:r>
      <w:rPr>
        <w:rFonts w:ascii="微软雅黑" w:hAnsi="微软雅黑" w:eastAsia="微软雅黑" w:cs="微软雅黑"/>
        <w:color w:val="FF0000"/>
        <w:spacing w:val="104"/>
        <w:sz w:val="40"/>
        <w:szCs w:val="40"/>
        <w14:textOutline w14:w="6350" w14:cap="flat" w14:cmpd="sng">
          <w14:solidFill>
            <w14:srgbClr w14:val="FF0000"/>
          </w14:solidFill>
          <w14:prstDash w14:val="solid"/>
          <w14:miter w14:val="0"/>
        </w14:textOutline>
      </w:rPr>
      <w:t>海</w:t>
    </w:r>
    <w:r>
      <w:rPr>
        <w:rFonts w:hint="eastAsia" w:ascii="微软雅黑" w:hAnsi="微软雅黑" w:eastAsia="微软雅黑" w:cs="微软雅黑"/>
        <w:color w:val="FF0000"/>
        <w:spacing w:val="104"/>
        <w:sz w:val="40"/>
        <w:szCs w:val="40"/>
        <w:lang w:eastAsia="zh-CN"/>
        <w14:textOutline w14:w="6350" w14:cap="flat" w14:cmpd="sng">
          <w14:solidFill>
            <w14:srgbClr w14:val="FF0000"/>
          </w14:solidFill>
          <w14:prstDash w14:val="solid"/>
          <w14:miter w14:val="0"/>
        </w14:textOutline>
      </w:rPr>
      <w:t>申江</w:t>
    </w:r>
    <w:r>
      <w:rPr>
        <w:rFonts w:ascii="微软雅黑" w:hAnsi="微软雅黑" w:eastAsia="微软雅黑" w:cs="微软雅黑"/>
        <w:color w:val="FF0000"/>
        <w:spacing w:val="104"/>
        <w:sz w:val="40"/>
        <w:szCs w:val="40"/>
        <w14:textOutline w14:w="6350" w14:cap="flat" w14:cmpd="sng">
          <w14:solidFill>
            <w14:srgbClr w14:val="FF0000"/>
          </w14:solidFill>
          <w14:prstDash w14:val="solid"/>
          <w14:miter w14:val="0"/>
        </w14:textOutline>
      </w:rPr>
      <w:t>医学</w:t>
    </w:r>
    <w:r>
      <w:rPr>
        <w:rFonts w:hint="eastAsia" w:ascii="微软雅黑" w:hAnsi="微软雅黑" w:eastAsia="微软雅黑" w:cs="微软雅黑"/>
        <w:color w:val="FF0000"/>
        <w:spacing w:val="104"/>
        <w:sz w:val="40"/>
        <w:szCs w:val="40"/>
        <w:lang w:eastAsia="zh-CN"/>
        <w14:textOutline w14:w="6350" w14:cap="flat" w14:cmpd="sng">
          <w14:solidFill>
            <w14:srgbClr w14:val="FF0000"/>
          </w14:solidFill>
          <w14:prstDash w14:val="solid"/>
          <w14:miter w14:val="0"/>
        </w14:textOutline>
      </w:rPr>
      <w:t>科技</w:t>
    </w:r>
    <w:r>
      <w:rPr>
        <w:rFonts w:ascii="微软雅黑" w:hAnsi="微软雅黑" w:eastAsia="微软雅黑" w:cs="微软雅黑"/>
        <w:color w:val="FF0000"/>
        <w:spacing w:val="104"/>
        <w:sz w:val="40"/>
        <w:szCs w:val="40"/>
        <w14:textOutline w14:w="6350" w14:cap="flat" w14:cmpd="sng">
          <w14:solidFill>
            <w14:srgbClr w14:val="FF0000"/>
          </w14:solidFill>
          <w14:prstDash w14:val="solid"/>
          <w14:miter w14:val="0"/>
        </w14:textOutline>
      </w:rPr>
      <w:t>发展基金会</w:t>
    </w:r>
  </w:p>
  <w:p>
    <w:pPr>
      <w:pBdr>
        <w:bottom w:val="thinThickMediumGap" w:color="008000" w:sz="18" w:space="0"/>
      </w:pBdr>
      <w:bidi w:val="0"/>
      <w:ind w:firstLine="1446" w:firstLineChars="600"/>
      <w:jc w:val="both"/>
      <w:rPr>
        <w:rFonts w:hint="eastAsia" w:eastAsia="宋体"/>
        <w:b/>
        <w:bCs/>
        <w:color w:val="535353" w:themeColor="accent3" w:themeShade="80"/>
        <w:sz w:val="24"/>
        <w:szCs w:val="24"/>
        <w:u w:val="none"/>
        <w:lang w:val="en-US" w:eastAsia="zh-CN"/>
      </w:rPr>
    </w:pPr>
    <w:r>
      <w:rPr>
        <w:rFonts w:hint="eastAsia" w:eastAsia="宋体"/>
        <w:b/>
        <w:bCs/>
        <w:color w:val="535353" w:themeColor="accent3" w:themeShade="80"/>
        <w:sz w:val="24"/>
        <w:szCs w:val="24"/>
        <w:u w:val="none"/>
        <w:lang w:val="en-US" w:eastAsia="zh-CN"/>
      </w:rPr>
      <w:t>Shanghai Shenjiang Medical Technology Development Foundation</w:t>
    </w:r>
  </w:p>
  <w:p>
    <w:pPr>
      <w:pBdr>
        <w:bottom w:val="thinThickMediumGap" w:color="008000" w:sz="18"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BD66131"/>
    <w:multiLevelType w:val="singleLevel"/>
    <w:tmpl w:val="6BD66131"/>
    <w:lvl w:ilvl="0" w:tentative="0">
      <w:start w:val="1"/>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gutterAtTop/>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E3N2FjNjdkNjg2YjM5Y2NiMzM4NDRjYTg3MjY2NWYifQ=="/>
  </w:docVars>
  <w:rsids>
    <w:rsidRoot w:val="39AF2E16"/>
    <w:rsid w:val="00406B65"/>
    <w:rsid w:val="00553519"/>
    <w:rsid w:val="00685335"/>
    <w:rsid w:val="00786D8F"/>
    <w:rsid w:val="007E63B2"/>
    <w:rsid w:val="00A319D5"/>
    <w:rsid w:val="00E01B82"/>
    <w:rsid w:val="02906F11"/>
    <w:rsid w:val="038C03DE"/>
    <w:rsid w:val="0CFE71D9"/>
    <w:rsid w:val="153A2052"/>
    <w:rsid w:val="1C180094"/>
    <w:rsid w:val="1EE7056B"/>
    <w:rsid w:val="2268661C"/>
    <w:rsid w:val="2FCE3BE5"/>
    <w:rsid w:val="34592031"/>
    <w:rsid w:val="39AF2E16"/>
    <w:rsid w:val="3ADE40FB"/>
    <w:rsid w:val="3D466A49"/>
    <w:rsid w:val="409B0F80"/>
    <w:rsid w:val="44623562"/>
    <w:rsid w:val="4C1C498C"/>
    <w:rsid w:val="4E436A56"/>
    <w:rsid w:val="4E516C91"/>
    <w:rsid w:val="5153604B"/>
    <w:rsid w:val="567809C3"/>
    <w:rsid w:val="668F0231"/>
    <w:rsid w:val="6C7077B1"/>
    <w:rsid w:val="6F946416"/>
    <w:rsid w:val="6FB461DC"/>
    <w:rsid w:val="72CC4119"/>
    <w:rsid w:val="76591BAC"/>
    <w:rsid w:val="769670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2"/>
    <w:basedOn w:val="1"/>
    <w:next w:val="1"/>
    <w:qFormat/>
    <w:uiPriority w:val="9"/>
    <w:pPr>
      <w:keepLines/>
      <w:spacing w:before="280" w:beforeAutospacing="0" w:after="280" w:afterAutospacing="0"/>
      <w:jc w:val="center"/>
      <w:outlineLvl w:val="0"/>
    </w:pPr>
    <w:rPr>
      <w:b/>
      <w:color w:val="000000"/>
      <w:sz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style>
  <w:style w:type="paragraph" w:styleId="4">
    <w:name w:val="footer"/>
    <w:basedOn w:val="1"/>
    <w:qFormat/>
    <w:uiPriority w:val="0"/>
    <w:pPr>
      <w:tabs>
        <w:tab w:val="center" w:pos="4153"/>
        <w:tab w:val="right" w:pos="8306"/>
      </w:tabs>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character" w:styleId="8">
    <w:name w:val="Strong"/>
    <w:basedOn w:val="7"/>
    <w:qFormat/>
    <w:uiPriority w:val="0"/>
    <w:rPr>
      <w:b/>
    </w:rPr>
  </w:style>
  <w:style w:type="character" w:styleId="9">
    <w:name w:val="annotation reference"/>
    <w:basedOn w:val="7"/>
    <w:qFormat/>
    <w:uiPriority w:val="0"/>
    <w:rPr>
      <w:sz w:val="21"/>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3193</Words>
  <Characters>3199</Characters>
  <Lines>24</Lines>
  <Paragraphs>6</Paragraphs>
  <TotalTime>4</TotalTime>
  <ScaleCrop>false</ScaleCrop>
  <LinksUpToDate>false</LinksUpToDate>
  <CharactersWithSpaces>3396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2023-06-07T06:49:00Z</dcterms:created>
  <dc:creator>Hu＿AnEi</dc:creator>
  <cp:lastModifiedBy>刘新杰</cp:lastModifiedBy>
  <dcterms:modified xsi:type="dcterms:W3CDTF">2023-06-12T13:17:25Z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F5128953B6C04EAEA1A1B926C1F5BF35_11</vt:lpwstr>
  </property>
</Properties>
</file>