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jc w:val="center"/>
        <w:rPr>
          <w:rFonts w:hint="eastAsia" w:ascii="宋体" w:hAnsi="宋体" w:eastAsia="宋体" w:cs="宋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14" w:line="224" w:lineRule="auto"/>
        <w:jc w:val="center"/>
        <w:rPr>
          <w:rFonts w:ascii="宋体" w:hAnsi="宋体" w:eastAsia="宋体" w:cs="宋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上海申江医学科技发展基金会货币资金管理制度</w:t>
      </w:r>
    </w:p>
    <w:p/>
    <w:p/>
    <w:p>
      <w:pPr>
        <w:numPr>
          <w:ilvl w:val="0"/>
          <w:numId w:val="1"/>
        </w:numPr>
        <w:spacing w:before="91" w:line="220" w:lineRule="auto"/>
        <w:jc w:val="center"/>
        <w:rPr>
          <w:rFonts w:hint="eastAsia"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总 则</w:t>
      </w:r>
    </w:p>
    <w:p>
      <w:pPr>
        <w:numPr>
          <w:numId w:val="0"/>
        </w:numPr>
        <w:spacing w:before="91" w:line="220" w:lineRule="auto"/>
        <w:jc w:val="both"/>
        <w:rPr>
          <w:rFonts w:hint="eastAsia"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第一条</w:t>
      </w: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为了加强上海申江医学科技发展基金会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(以下简称“基金会”)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货币资金的管理和内部控制，保证货币资金的安全与完整，根据《中华人民共和国会计法》、《基金会管理条例》、《民间非盈利组织会计制度》、《上海申江医学科技发展基金会章程》等有关法律、法规和规定，</w:t>
      </w:r>
      <w:r>
        <w:rPr>
          <w:rFonts w:hint="eastAsia" w:ascii="宋体" w:hAnsi="宋体" w:eastAsia="宋体" w:cs="宋体"/>
          <w:sz w:val="28"/>
          <w:szCs w:val="28"/>
        </w:rPr>
        <w:t>结合基金会的实际情况特制定本制度。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第二条</w:t>
      </w: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 xml:space="preserve">货币资金是指基金会拥有的现金、银行存款和其他货币资金。 </w:t>
      </w:r>
    </w:p>
    <w:p>
      <w:pPr>
        <w:spacing w:line="360" w:lineRule="auto"/>
        <w:ind w:left="420" w:firstLine="420"/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第三条</w:t>
      </w: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基金会理事会对本单位货币资金内部控制制度的建立、健全、有效实施以及货币资金的安全负责。</w:t>
      </w:r>
    </w:p>
    <w:p>
      <w:pPr>
        <w:numPr>
          <w:ilvl w:val="0"/>
          <w:numId w:val="1"/>
        </w:numPr>
        <w:spacing w:before="91" w:line="220" w:lineRule="auto"/>
        <w:ind w:left="0" w:leftChars="0" w:firstLine="0" w:firstLineChars="0"/>
        <w:jc w:val="center"/>
        <w:rPr>
          <w:rFonts w:hint="eastAsia"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岗位设置及职责分工</w:t>
      </w:r>
    </w:p>
    <w:p>
      <w:pPr>
        <w:numPr>
          <w:numId w:val="0"/>
        </w:numPr>
        <w:spacing w:before="91" w:line="220" w:lineRule="auto"/>
        <w:ind w:leftChars="0"/>
        <w:jc w:val="both"/>
        <w:rPr>
          <w:rFonts w:hint="eastAsia"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第四条</w:t>
      </w: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建立货币资金业务的岗位分工体系和岗位责任制度。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(一)办理货币资金业务的不相容岗位应当相互分离、制约和监督，出纳人员不得兼任会计档案保管和收入、支出、费用、债权债务账目的登记工作。不得由一人办理货币资金业务的全过程。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(二) 严禁未经授权的部门或人员办理货币资金业务和直接接触货币资金。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(三) 货币资金业务工作应当根据实际情况定期及不定期进行核查。</w:t>
      </w:r>
    </w:p>
    <w:p>
      <w:pPr>
        <w:spacing w:line="360" w:lineRule="auto"/>
        <w:ind w:left="420" w:firstLine="420"/>
      </w:pPr>
      <w:r>
        <w:rPr>
          <w:rFonts w:hint="eastAsia" w:ascii="宋体" w:hAnsi="宋体" w:eastAsia="宋体" w:cs="宋体"/>
          <w:spacing w:val="-2"/>
          <w:sz w:val="28"/>
          <w:szCs w:val="28"/>
        </w:rPr>
        <w:t>(四) 对银行结算凭证的填制、传递和保管等环节应当加强管理与控制。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第五条</w:t>
      </w:r>
      <w:r>
        <w:rPr>
          <w:rFonts w:hint="eastAsia"/>
        </w:rPr>
        <w:t xml:space="preserve">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 xml:space="preserve"> 货币资金业务岗位设置按不相容职务相分离的原则，设置现金及银行出纳，复核及银行对账岗位。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(一) 现金及银行出纳岗位职责：执行国家有关法律法规，根据中国人民银行《现金管理暂行条例》规定，办理现金收付款业务；负责保管库存现金，保证现金收付、现金提款、存款过程的安全。按照国家有关法律法规，根据中国人民银行《支付结算办法》规定，办理银行结算业务；按要求领用各种银行票据，妥善保管空白票据；负责保管一枚基金会财务专用章；使用网上银行支付系统时，要严格按操作流程进行，妥善保管支付U盾和密码。及时进行银行对账，按月编制银行余额调节表，及时清理未达账；对异常的未达账项及时向领导汇报。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(二) 复核及银行对账岗位职责：严格执行国家有关法律法规，根据中国人民银行《支付结算办法》办理银行结算业务的复核。负责审核银行存款收支原始凭证，检查出纳人员开出的银行结算票据金额、日期、抬头等是否正确，无误后加盖印鉴交经办人或银行外勤人员；负责网银支付的审核签署；妥善保管基金会财务负责人私章；负责各种银行结算票据的购买手续。</w:t>
      </w:r>
    </w:p>
    <w:p/>
    <w:p>
      <w:pPr>
        <w:numPr>
          <w:ilvl w:val="0"/>
          <w:numId w:val="1"/>
        </w:numPr>
        <w:spacing w:before="91" w:line="220" w:lineRule="auto"/>
        <w:ind w:left="0" w:leftChars="0" w:firstLine="0" w:firstLineChars="0"/>
        <w:jc w:val="center"/>
        <w:rPr>
          <w:rFonts w:hint="eastAsia"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授权审批程序和权限</w:t>
      </w:r>
    </w:p>
    <w:p>
      <w:pPr>
        <w:numPr>
          <w:numId w:val="0"/>
        </w:numPr>
        <w:spacing w:before="91" w:line="220" w:lineRule="auto"/>
        <w:ind w:leftChars="0"/>
        <w:jc w:val="both"/>
        <w:rPr>
          <w:rFonts w:hint="eastAsia"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20" w:beforeLines="50" w:line="360" w:lineRule="auto"/>
        <w:ind w:left="420" w:firstLine="420"/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第六条</w:t>
      </w: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严格按照《上海申江医学科技发展基金会章程》、《上海申江医学科技发展基金会财务管理制度》、《上海申江医学科技发展基金会项目管理制度》中的相关授权审批程序及授权执行。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第七条</w:t>
      </w: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在基金会直接执行的项目资金，金额在15万以下的项目，由基金会秘书长签批后执行；金额在15万及以上的项目，由基金会理事长签批后执行。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第八条</w:t>
      </w: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货币资金运作审批程序及权限：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(一) 根据资金情况，将活期存款资金转存定期存款，由基金会财务部提出申报，报秘书长及以上领导审批。</w:t>
      </w:r>
    </w:p>
    <w:p>
      <w:pPr>
        <w:spacing w:line="360" w:lineRule="auto"/>
        <w:ind w:left="420" w:firstLine="420"/>
      </w:pPr>
      <w:r>
        <w:rPr>
          <w:rFonts w:hint="eastAsia" w:ascii="宋体" w:hAnsi="宋体" w:eastAsia="宋体" w:cs="宋体"/>
          <w:spacing w:val="-2"/>
          <w:sz w:val="28"/>
          <w:szCs w:val="28"/>
        </w:rPr>
        <w:t>(二) 因调整资金头寸需要而在基金会各银行账户之间划拨资金，由基金会财务部提出申报，报秘书长及以上领导审批。</w:t>
      </w:r>
    </w:p>
    <w:p>
      <w:pPr>
        <w:numPr>
          <w:ilvl w:val="0"/>
          <w:numId w:val="1"/>
        </w:numPr>
        <w:spacing w:before="91" w:line="220" w:lineRule="auto"/>
        <w:ind w:left="0" w:leftChars="0" w:firstLine="0" w:firstLineChars="0"/>
        <w:jc w:val="center"/>
        <w:rPr>
          <w:rFonts w:hint="eastAsia"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现金的管理</w:t>
      </w:r>
    </w:p>
    <w:p>
      <w:pPr>
        <w:numPr>
          <w:numId w:val="0"/>
        </w:numPr>
        <w:spacing w:before="91" w:line="220" w:lineRule="auto"/>
        <w:ind w:leftChars="0"/>
        <w:jc w:val="both"/>
        <w:rPr>
          <w:rFonts w:hint="eastAsia"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第九条</w:t>
      </w: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基金会应按照《现金管理暂行条例》规定的范围使用现金。具体范围如下：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(一) 职工工资、各种补贴和津贴等；退休人员薪金、补贴及生活费用；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(二) 各种劳务报酬；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(三) 支付给个人的各种奖励金；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(四) 各种劳保、福利费用以及国家规定的对个人的其它支出，包括保健津贴、抚恤金、丧葬费、探亲费、困难补助等；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(五) 出差人员必须随身携带的差旅费；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(六) 3000元以下的零星开支，其他对个人的现金支出等；</w:t>
      </w:r>
    </w:p>
    <w:p>
      <w:pPr>
        <w:spacing w:line="360" w:lineRule="auto"/>
        <w:ind w:left="420" w:firstLine="420"/>
      </w:pPr>
      <w:r>
        <w:rPr>
          <w:rFonts w:hint="eastAsia" w:ascii="宋体" w:hAnsi="宋体" w:eastAsia="宋体" w:cs="宋体"/>
          <w:spacing w:val="-2"/>
          <w:sz w:val="28"/>
          <w:szCs w:val="28"/>
        </w:rPr>
        <w:t>(七) 确实需要现金的其他支出，例如因采购地点不确定、交通不便、抢险救灾及其他特殊情况，办理转账结算不方便而必须使用的现金。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第十条</w:t>
      </w: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加强和规范支出管理，切实减少支出中的现金支付结算；凡不属于现金开支范围的业务应当通过银行办理转账结算。特殊情况需说明理由，并由财务负责人签字盖章。</w:t>
      </w:r>
    </w:p>
    <w:p>
      <w:pPr>
        <w:spacing w:line="360" w:lineRule="auto"/>
        <w:ind w:left="420" w:firstLine="420"/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第十一条</w:t>
      </w: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基金会取得的货币资金必须及时入账，不得私设“小金库”。</w:t>
      </w:r>
      <w:r>
        <w:rPr>
          <w:rFonts w:hint="eastAsia"/>
        </w:rPr>
        <w:t xml:space="preserve"> </w:t>
      </w:r>
    </w:p>
    <w:p>
      <w:pPr>
        <w:spacing w:line="360" w:lineRule="auto"/>
        <w:ind w:left="420" w:firstLine="420"/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第十二条</w:t>
      </w: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出纳人员严格按照程序办理现金收付款业务，当面点清数额并注意防伪。现金业务办理完毕，应在记账凭证上加盖“现金收讫”、“现金付讫”章，并登记现金日记账。</w:t>
      </w:r>
    </w:p>
    <w:p>
      <w:pPr>
        <w:kinsoku/>
        <w:spacing w:line="360" w:lineRule="auto"/>
        <w:ind w:left="420" w:firstLine="420"/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第十三条</w:t>
      </w: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基金会各部门超过一万元的现金借款、报账支付，需提前一天预约。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第十四条</w:t>
      </w: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加强现金库存限额的管理，超过库存限额的现金应及时存入银行。不得白条抵库，不得擅自挪用。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第十五条</w:t>
      </w: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每日终了，出纳人员要盘点库存现金，及时结出现金余额，做到日清月结，确保账款相符。账款不符的，应及时查找原因并向领导汇报，由单位领导依法处理。任何个人不得擅自处理，更不得以长款补短款。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第十六条</w:t>
      </w: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 xml:space="preserve">现金出纳人员工作交接时，须填制“上海申江医学科技发展基金会移交清册”，写明库存现金数额及现金日记账账面余额，交接双方在监交人的监督下清点现金并与现金日记账核对，并在现金日记账最后一笔余额后加盖移交人印章或签字。交接完毕，应由移交人、接收人、监交人三方共同在移交清册上签字后存档一份，移交人、接收人各执一份。 </w:t>
      </w:r>
    </w:p>
    <w:p>
      <w:pPr>
        <w:spacing w:line="360" w:lineRule="auto"/>
        <w:ind w:left="420" w:firstLine="420"/>
        <w:rPr>
          <w:rFonts w:hint="eastAsia"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第十七条</w:t>
      </w: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指定非现金业务岗位人员定期和不定期地进行现金盘点，确保现金账面余额与实际库存相符。发现不符，及时查明原因，作出处理。</w:t>
      </w:r>
    </w:p>
    <w:p>
      <w:pPr>
        <w:bidi w:val="0"/>
        <w:rPr>
          <w:rFonts w:hint="eastAsia"/>
        </w:rPr>
      </w:pPr>
    </w:p>
    <w:p>
      <w:pPr>
        <w:numPr>
          <w:ilvl w:val="0"/>
          <w:numId w:val="1"/>
        </w:numPr>
        <w:spacing w:before="91" w:line="220" w:lineRule="auto"/>
        <w:ind w:left="0" w:leftChars="0" w:firstLine="0" w:firstLineChars="0"/>
        <w:jc w:val="center"/>
        <w:rPr>
          <w:rFonts w:hint="eastAsia"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银行存款的管理</w:t>
      </w:r>
    </w:p>
    <w:p>
      <w:pPr>
        <w:numPr>
          <w:numId w:val="0"/>
        </w:numPr>
        <w:spacing w:before="91" w:line="220" w:lineRule="auto"/>
        <w:ind w:leftChars="0"/>
        <w:jc w:val="both"/>
        <w:rPr>
          <w:rFonts w:hint="eastAsia"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20" w:beforeLines="50" w:line="360" w:lineRule="auto"/>
        <w:ind w:left="420" w:firstLine="420"/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第十八条</w:t>
      </w: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基金会的银行账户由财务部按照国家规定统一集中管理， 任何单位和个人不得以基金会的名义开立银行账户，不得出租出借账户。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第十九条</w:t>
      </w: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基金会财务部应当严格遵守银行结算纪律，不准签发没有资金保证的票据或远期支票，套取银行信用；不准签发、取得和转让没有真实交易和债权债务的票据，套取银行和他人资金；不准无理拒绝付款，任意占用他人资金。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第二十条</w:t>
      </w: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出纳人员办理银行业务时，必须以原始凭证为依据开具票据，支付票据的收款人名称应与发票上名称一致，不得无故变更；如有特殊情况，应写明详情并由理事长审批。</w:t>
      </w:r>
    </w:p>
    <w:p>
      <w:pPr>
        <w:spacing w:line="360" w:lineRule="auto"/>
        <w:ind w:left="420" w:firstLine="420"/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第二十一条</w:t>
      </w: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对账人员要按月及时核对银行账，编制“银行存款余额调节表”，使银行存款账面余额与银行对账单调节相符，并及时清理未达账项；超过两个月的未达账要督促有关单位和人员尽快处理并入账。</w:t>
      </w:r>
      <w:r>
        <w:rPr>
          <w:rFonts w:hint="eastAsia"/>
        </w:rPr>
        <w:t xml:space="preserve"> </w:t>
      </w:r>
    </w:p>
    <w:p>
      <w:pPr>
        <w:kinsoku/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第二十二条</w:t>
      </w: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对账单及“银行存款余额调节表”实行双签制度。“银行存款余额调节表”由财务部审核签字后，交秘书长复核签字，并报经理事长审签后归档。</w:t>
      </w:r>
    </w:p>
    <w:p>
      <w:pPr>
        <w:spacing w:line="360" w:lineRule="auto"/>
        <w:ind w:left="420" w:firstLine="420"/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第二十三条</w:t>
      </w: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因经办人员工作疏忽造成基金会货币资金损失的，应由经办人员负责追回、赔偿。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第二十四条</w:t>
      </w: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银行出纳人员进行工作交接，应在交接清册上注明交接空白票据种类、编号，印鉴的名称，由移交人、接收人、监交人三方签字后分别保管。</w:t>
      </w:r>
    </w:p>
    <w:p/>
    <w:p/>
    <w:p/>
    <w:p/>
    <w:p/>
    <w:p>
      <w:pPr>
        <w:numPr>
          <w:numId w:val="0"/>
        </w:numPr>
        <w:spacing w:before="91" w:line="220" w:lineRule="auto"/>
        <w:ind w:leftChars="0"/>
        <w:jc w:val="both"/>
        <w:rPr>
          <w:rFonts w:hint="eastAsia"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</w:p>
    <w:p>
      <w:pPr>
        <w:numPr>
          <w:ilvl w:val="0"/>
          <w:numId w:val="1"/>
        </w:numPr>
        <w:spacing w:before="91" w:line="220" w:lineRule="auto"/>
        <w:ind w:left="0" w:leftChars="0" w:firstLine="0" w:firstLineChars="0"/>
        <w:jc w:val="center"/>
        <w:rPr>
          <w:rFonts w:hint="eastAsia"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银行票据及有关印章的管理</w:t>
      </w:r>
    </w:p>
    <w:p>
      <w:pPr>
        <w:numPr>
          <w:numId w:val="0"/>
        </w:numPr>
        <w:spacing w:before="91" w:line="220" w:lineRule="auto"/>
        <w:ind w:leftChars="0"/>
        <w:jc w:val="both"/>
        <w:rPr>
          <w:rFonts w:hint="eastAsia"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20" w:beforeLines="50" w:line="360" w:lineRule="auto"/>
        <w:ind w:left="420" w:firstLine="420"/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第二十五条</w:t>
      </w: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银行票据包括转账支票、银行汇票、电汇凭证、现金支票、现金缴款单等，也包括基金会印制的内部结算票据。</w:t>
      </w:r>
    </w:p>
    <w:p>
      <w:pPr>
        <w:spacing w:line="360" w:lineRule="auto"/>
        <w:ind w:left="420" w:firstLine="420"/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第二十六条</w:t>
      </w: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银行票据由专人负责购买并保管。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第二十七条</w:t>
      </w: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购买票据时要逐一清点检查，查看票据是否完整无损，编号是否连续，如有问题当场更换。领用票据应设登记簿进行记录，防止空白票据的遗失和被盗用。</w:t>
      </w:r>
    </w:p>
    <w:p>
      <w:pPr>
        <w:spacing w:line="360" w:lineRule="auto"/>
        <w:ind w:left="420" w:firstLine="420"/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第二十八条</w:t>
      </w: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银行印章实行专人分别管理，严禁一人保管支付款项所需的全部印章。</w:t>
      </w:r>
    </w:p>
    <w:p>
      <w:pPr>
        <w:numPr>
          <w:ilvl w:val="0"/>
          <w:numId w:val="1"/>
        </w:numPr>
        <w:spacing w:before="91" w:line="220" w:lineRule="auto"/>
        <w:ind w:left="0" w:leftChars="0" w:firstLine="0" w:firstLineChars="0"/>
        <w:jc w:val="center"/>
        <w:rPr>
          <w:rFonts w:hint="eastAsia"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监督检查</w:t>
      </w:r>
    </w:p>
    <w:p>
      <w:pPr>
        <w:numPr>
          <w:numId w:val="0"/>
        </w:numPr>
        <w:spacing w:before="91" w:line="220" w:lineRule="auto"/>
        <w:ind w:leftChars="0"/>
        <w:jc w:val="both"/>
        <w:rPr>
          <w:rFonts w:hint="eastAsia"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20" w:beforeLines="50" w:line="360" w:lineRule="auto"/>
        <w:ind w:left="420" w:firstLine="420"/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第二十九条</w:t>
      </w: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基金会建立对货币资金业务的监督检查制度，由基金会秘书长、理事长定期、不定期对本单位货币资金业务进行检查，并记录检查情况。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第三十条</w:t>
      </w: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货币资金监督检查的内容主要包括：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(一) 库存现金与账面余额是否一致，有无白条抵库、私自挪用现金等情况；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(二) 支付款项印章是否由专人分别保管，是否存在办理付款业务所需的全部印章交由一人保管的现象；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(三) 票据的购买、领用、保管手续是否健全，票据保管是否存在漏洞；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(四) 其他涉及货币资金安全的事项。</w:t>
      </w:r>
    </w:p>
    <w:p>
      <w:pPr>
        <w:spacing w:line="360" w:lineRule="auto"/>
        <w:ind w:left="420" w:firstLine="420"/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第三十一条</w:t>
      </w: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对监督检查过程中发现的货币资金内部控制中的薄弱环节，应当及时采取措施，加以纠正和完善。</w:t>
      </w:r>
    </w:p>
    <w:p>
      <w:pPr>
        <w:spacing w:before="120" w:beforeLines="50" w:line="360" w:lineRule="auto"/>
        <w:ind w:left="420" w:firstLine="420"/>
        <w:rPr>
          <w:rFonts w:hint="eastAsia"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第三十二条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其他货币资金的管理按国家相关规定执行。</w:t>
      </w:r>
    </w:p>
    <w:p>
      <w:pPr>
        <w:numPr>
          <w:ilvl w:val="0"/>
          <w:numId w:val="1"/>
        </w:numPr>
        <w:spacing w:before="91" w:line="220" w:lineRule="auto"/>
        <w:ind w:left="0" w:leftChars="0" w:firstLine="0" w:firstLineChars="0"/>
        <w:jc w:val="center"/>
        <w:rPr>
          <w:rFonts w:hint="eastAsia"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附 则</w:t>
      </w:r>
    </w:p>
    <w:p>
      <w:pPr>
        <w:numPr>
          <w:numId w:val="0"/>
        </w:numPr>
        <w:spacing w:before="91" w:line="220" w:lineRule="auto"/>
        <w:ind w:leftChars="0"/>
        <w:jc w:val="both"/>
        <w:rPr>
          <w:rFonts w:hint="eastAsia"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第三十三条</w:t>
      </w:r>
      <w:r>
        <w:rPr>
          <w:rFonts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本制度未尽事宜，依据《基金会管理条例》和本基金会章程的规定办理。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第三十四条</w:t>
      </w:r>
      <w:r>
        <w:rPr>
          <w:rFonts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本制度自第一届理事会第二次会议通过之日起执行，由理事会负责解释。</w:t>
      </w:r>
    </w:p>
    <w:p/>
    <w:p/>
    <w:p/>
    <w:p/>
    <w:p>
      <w:pPr>
        <w:spacing w:before="91" w:line="352" w:lineRule="auto"/>
        <w:ind w:right="749"/>
        <w:jc w:val="right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 xml:space="preserve">上海申江医学科技发展基金会 </w:t>
      </w:r>
    </w:p>
    <w:p>
      <w:pPr>
        <w:spacing w:before="91" w:line="352" w:lineRule="auto"/>
        <w:ind w:right="749"/>
        <w:jc w:val="right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 xml:space="preserve">2023 年 </w:t>
      </w:r>
      <w:r>
        <w:rPr>
          <w:rFonts w:ascii="宋体" w:hAnsi="宋体" w:eastAsia="宋体" w:cs="宋体"/>
          <w:spacing w:val="-2"/>
          <w:sz w:val="28"/>
          <w:szCs w:val="28"/>
        </w:rPr>
        <w:t>6</w:t>
      </w:r>
      <w:r>
        <w:rPr>
          <w:rFonts w:hint="eastAsia" w:ascii="宋体" w:hAnsi="宋体" w:eastAsia="宋体" w:cs="宋体"/>
          <w:spacing w:val="-2"/>
          <w:sz w:val="28"/>
          <w:szCs w:val="28"/>
        </w:rPr>
        <w:t xml:space="preserve"> 月 </w:t>
      </w:r>
      <w:r>
        <w:rPr>
          <w:rFonts w:ascii="宋体" w:hAnsi="宋体" w:eastAsia="宋体" w:cs="宋体"/>
          <w:spacing w:val="-2"/>
          <w:sz w:val="28"/>
          <w:szCs w:val="28"/>
        </w:rPr>
        <w:t>15</w:t>
      </w:r>
      <w:r>
        <w:rPr>
          <w:rFonts w:hint="eastAsia" w:ascii="宋体" w:hAnsi="宋体" w:eastAsia="宋体" w:cs="宋体"/>
          <w:spacing w:val="-2"/>
          <w:sz w:val="28"/>
          <w:szCs w:val="28"/>
        </w:rPr>
        <w:t xml:space="preserve"> 日</w:t>
      </w:r>
    </w:p>
    <w:p/>
    <w:p/>
    <w:p/>
    <w:p/>
    <w:p/>
    <w:p/>
    <w:sectPr>
      <w:headerReference r:id="rId3" w:type="default"/>
      <w:footerReference r:id="rId4" w:type="default"/>
      <w:pgSz w:w="11906" w:h="16838"/>
      <w:pgMar w:top="998" w:right="737" w:bottom="850" w:left="998" w:header="283" w:footer="283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3194050</wp:posOffset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1.5pt;margin-top:-1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4Is2ZZ&#10;2Oqd5RE6Kubt6hggYKdrFKVXYtAK09Z1ZngZcZz/3HdRj3+D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4sgqG2AAAAAsBAAAPAAAAAAAAAAEAIAAAACIAAABkcnMvZG93bnJldi54bWxQSwECFAAU&#10;AAAACACHTuJAjNcOfCoCAABVBAAADgAAAAAAAAABACAAAAAn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bottom w:val="none" w:color="auto" w:sz="0" w:space="0"/>
      </w:pBdr>
      <w:kinsoku w:val="0"/>
      <w:wordWrap/>
      <w:overflowPunct/>
      <w:topLinePunct w:val="0"/>
      <w:autoSpaceDE w:val="0"/>
      <w:autoSpaceDN w:val="0"/>
      <w:bidi w:val="0"/>
      <w:adjustRightInd w:val="0"/>
      <w:snapToGrid w:val="0"/>
      <w:spacing w:before="192" w:after="0" w:afterLines="50" w:line="178" w:lineRule="auto"/>
      <w:jc w:val="center"/>
      <w:textAlignment w:val="baseline"/>
      <w:rPr>
        <w:rFonts w:ascii="微软雅黑" w:hAnsi="微软雅黑" w:eastAsia="微软雅黑" w:cs="微软雅黑"/>
        <w:color w:val="FF0000"/>
        <w:spacing w:val="104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</w:pPr>
    <w: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28575</wp:posOffset>
          </wp:positionV>
          <wp:extent cx="640715" cy="640715"/>
          <wp:effectExtent l="0" t="0" r="6985" b="6985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21600000">
                    <a:off x="0" y="0"/>
                    <a:ext cx="640715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color w:val="FF0000"/>
        <w:spacing w:val="109"/>
        <w:sz w:val="47"/>
        <w:szCs w:val="47"/>
        <w:lang w:val="en-US" w:eastAsia="zh-CN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 xml:space="preserve"> </w:t>
    </w:r>
    <w:r>
      <w:rPr>
        <w:rFonts w:ascii="微软雅黑" w:hAnsi="微软雅黑" w:eastAsia="微软雅黑" w:cs="微软雅黑"/>
        <w:color w:val="FF0000"/>
        <w:spacing w:val="109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上</w:t>
    </w:r>
    <w:r>
      <w:rPr>
        <w:rFonts w:ascii="微软雅黑" w:hAnsi="微软雅黑" w:eastAsia="微软雅黑" w:cs="微软雅黑"/>
        <w:color w:val="FF0000"/>
        <w:spacing w:val="104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海</w:t>
    </w:r>
    <w:r>
      <w:rPr>
        <w:rFonts w:hint="eastAsia" w:ascii="微软雅黑" w:hAnsi="微软雅黑" w:eastAsia="微软雅黑" w:cs="微软雅黑"/>
        <w:color w:val="FF0000"/>
        <w:spacing w:val="104"/>
        <w:sz w:val="40"/>
        <w:szCs w:val="40"/>
        <w:lang w:eastAsia="zh-CN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申江</w:t>
    </w:r>
    <w:r>
      <w:rPr>
        <w:rFonts w:ascii="微软雅黑" w:hAnsi="微软雅黑" w:eastAsia="微软雅黑" w:cs="微软雅黑"/>
        <w:color w:val="FF0000"/>
        <w:spacing w:val="104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医学</w:t>
    </w:r>
    <w:r>
      <w:rPr>
        <w:rFonts w:hint="eastAsia" w:ascii="微软雅黑" w:hAnsi="微软雅黑" w:eastAsia="微软雅黑" w:cs="微软雅黑"/>
        <w:color w:val="FF0000"/>
        <w:spacing w:val="104"/>
        <w:sz w:val="40"/>
        <w:szCs w:val="40"/>
        <w:lang w:eastAsia="zh-CN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科技</w:t>
    </w:r>
    <w:r>
      <w:rPr>
        <w:rFonts w:ascii="微软雅黑" w:hAnsi="微软雅黑" w:eastAsia="微软雅黑" w:cs="微软雅黑"/>
        <w:color w:val="FF0000"/>
        <w:spacing w:val="104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发展基金会</w:t>
    </w:r>
  </w:p>
  <w:p>
    <w:pPr>
      <w:pBdr>
        <w:bottom w:val="thinThickMediumGap" w:color="008000" w:sz="18" w:space="0"/>
      </w:pBdr>
      <w:bidi w:val="0"/>
      <w:ind w:firstLine="1446" w:firstLineChars="600"/>
      <w:jc w:val="both"/>
      <w:rPr>
        <w:rFonts w:hint="eastAsia" w:eastAsia="宋体"/>
        <w:b/>
        <w:bCs/>
        <w:color w:val="535353" w:themeColor="accent3" w:themeShade="80"/>
        <w:sz w:val="24"/>
        <w:szCs w:val="24"/>
        <w:u w:val="none"/>
        <w:lang w:val="en-US" w:eastAsia="zh-CN"/>
      </w:rPr>
    </w:pPr>
    <w:r>
      <w:rPr>
        <w:rFonts w:hint="eastAsia" w:eastAsia="宋体"/>
        <w:b/>
        <w:bCs/>
        <w:color w:val="535353" w:themeColor="accent3" w:themeShade="80"/>
        <w:sz w:val="24"/>
        <w:szCs w:val="24"/>
        <w:u w:val="none"/>
        <w:lang w:val="en-US" w:eastAsia="zh-CN"/>
      </w:rPr>
      <w:t>Shanghai Shenjiang Medical Technology Development Foundation</w:t>
    </w:r>
  </w:p>
  <w:p>
    <w:pPr>
      <w:pBdr>
        <w:bottom w:val="thinThickMediumGap" w:color="008000" w:sz="18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BBC505"/>
    <w:multiLevelType w:val="singleLevel"/>
    <w:tmpl w:val="36BBC505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gutterAtTop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3N2FjNjdkNjg2YjM5Y2NiMzM4NDRjYTg3MjY2NWYifQ=="/>
  </w:docVars>
  <w:rsids>
    <w:rsidRoot w:val="39AF2E16"/>
    <w:rsid w:val="003D6F15"/>
    <w:rsid w:val="00595E72"/>
    <w:rsid w:val="00684920"/>
    <w:rsid w:val="007C5CA2"/>
    <w:rsid w:val="00E555F6"/>
    <w:rsid w:val="00EB560C"/>
    <w:rsid w:val="12A156E9"/>
    <w:rsid w:val="1868583B"/>
    <w:rsid w:val="19960F97"/>
    <w:rsid w:val="1EE7056B"/>
    <w:rsid w:val="2268661C"/>
    <w:rsid w:val="254C76C5"/>
    <w:rsid w:val="34592031"/>
    <w:rsid w:val="39AF2E16"/>
    <w:rsid w:val="3BB05B2B"/>
    <w:rsid w:val="3D466A49"/>
    <w:rsid w:val="409B0F80"/>
    <w:rsid w:val="4B8911C3"/>
    <w:rsid w:val="4E516C91"/>
    <w:rsid w:val="668F0231"/>
    <w:rsid w:val="6FB4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0"/>
    </w:pPr>
    <w:rPr>
      <w:b/>
      <w:color w:val="000000"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3136</Words>
  <Characters>3145</Characters>
  <Lines>24</Lines>
  <Paragraphs>6</Paragraphs>
  <TotalTime>4</TotalTime>
  <ScaleCrop>false</ScaleCrop>
  <LinksUpToDate>false</LinksUpToDate>
  <CharactersWithSpaces>3305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2023-06-07T08:03:00Z</dcterms:created>
  <dc:creator>Hu＿AnEi</dc:creator>
  <cp:lastModifiedBy>刘新杰</cp:lastModifiedBy>
  <dcterms:modified xsi:type="dcterms:W3CDTF">2023-06-12T13:28:03Z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F5128953B6C04EAEA1A1B926C1F5BF35_11</vt:lpwstr>
  </property>
</Properties>
</file>