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jc w:val="center"/>
        <w:rPr>
          <w:rFonts w:ascii="宋体" w:hAnsi="宋体" w:eastAsia="宋体" w:cs="宋体"/>
          <w:spacing w:val="14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4" w:line="224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4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</w:t>
      </w:r>
      <w:r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海</w:t>
      </w:r>
      <w:r>
        <w:rPr>
          <w:rFonts w:hint="eastAsia"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申江医学科技</w:t>
      </w:r>
      <w:r>
        <w:rPr>
          <w:rFonts w:ascii="宋体" w:hAnsi="宋体" w:eastAsia="宋体" w:cs="宋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发展基金会资产管理制度</w:t>
      </w:r>
    </w:p>
    <w:p>
      <w:pPr>
        <w:spacing w:line="293" w:lineRule="auto"/>
      </w:pPr>
    </w:p>
    <w:p>
      <w:pPr>
        <w:spacing w:line="294" w:lineRule="auto"/>
      </w:pPr>
    </w:p>
    <w:p>
      <w:pPr>
        <w:numPr>
          <w:ilvl w:val="0"/>
          <w:numId w:val="1"/>
        </w:num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总 则</w:t>
      </w:r>
    </w:p>
    <w:p>
      <w:pPr>
        <w:numPr>
          <w:numId w:val="0"/>
        </w:numPr>
        <w:spacing w:before="91" w:line="220" w:lineRule="auto"/>
        <w:jc w:val="both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第一条   </w:t>
      </w:r>
      <w:r>
        <w:rPr>
          <w:rFonts w:ascii="宋体" w:hAnsi="宋体" w:eastAsia="宋体" w:cs="宋体"/>
          <w:spacing w:val="2"/>
          <w:sz w:val="28"/>
          <w:szCs w:val="28"/>
        </w:rPr>
        <w:t>为了规范投资和资产处置行为，根据《中华人民共和国慈善法》</w:t>
      </w:r>
      <w:r>
        <w:rPr>
          <w:rFonts w:hint="eastAsia" w:ascii="宋体" w:hAnsi="宋体" w:eastAsia="宋体" w:cs="宋体"/>
          <w:spacing w:val="2"/>
          <w:sz w:val="28"/>
          <w:szCs w:val="28"/>
        </w:rPr>
        <w:t>、</w:t>
      </w:r>
      <w:r>
        <w:rPr>
          <w:rFonts w:ascii="宋体" w:hAnsi="宋体" w:eastAsia="宋体" w:cs="宋体"/>
          <w:spacing w:val="2"/>
          <w:sz w:val="28"/>
          <w:szCs w:val="28"/>
        </w:rPr>
        <w:t>《基金会管理条例》和《民间非营利组织会计制度》等法律、法规和规章及基金会章程制定本制度。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第二条   </w:t>
      </w:r>
      <w:r>
        <w:rPr>
          <w:rFonts w:ascii="宋体" w:hAnsi="宋体" w:eastAsia="宋体" w:cs="宋体"/>
          <w:spacing w:val="2"/>
          <w:sz w:val="28"/>
          <w:szCs w:val="28"/>
        </w:rPr>
        <w:t>本制度所称资产指投资资产和固定资产两类。投资资产是指本基金会用于短期投资或长期投资形成的资产，及其因此而形成的资产；固定资产是为行政管理、提供服务、生产商品或者出租目的而持有的，预计使用年限超过1年，单位价值较高的有形资产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第三条   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本基金会资产管理的基本原则是：合法、谨慎、安全、有效。 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本基金会按照《民间非营利组织会计制度》对资产进行会计核算和信息披露。</w:t>
      </w:r>
    </w:p>
    <w:p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第二章 资产管理</w:t>
      </w:r>
    </w:p>
    <w:p>
      <w:pPr>
        <w:spacing w:before="91" w:line="220" w:lineRule="auto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第五条   </w:t>
      </w:r>
      <w:r>
        <w:rPr>
          <w:rFonts w:ascii="宋体" w:hAnsi="宋体" w:eastAsia="宋体" w:cs="宋体"/>
          <w:spacing w:val="2"/>
          <w:sz w:val="28"/>
          <w:szCs w:val="28"/>
        </w:rPr>
        <w:t>本基金会理事会对资产管理履行决策职责；秘书处对资产履行管理职责。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第六条   </w:t>
      </w:r>
      <w:r>
        <w:rPr>
          <w:rFonts w:ascii="宋体" w:hAnsi="宋体" w:eastAsia="宋体" w:cs="宋体"/>
          <w:spacing w:val="2"/>
          <w:sz w:val="28"/>
          <w:szCs w:val="28"/>
        </w:rPr>
        <w:t>本基金会理事会对资产管理履行以下决策职责：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(一)、制定资产管理的具体规定；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(二)、决定重大投资活动；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(三)、制定年度投资计划和资产处置计划；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(四)、检查、监督办公室 (或秘书处) 的投资管理和资产处置工作；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(五)、其它有关资产管理的重大事项。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第七条   </w:t>
      </w:r>
      <w:r>
        <w:rPr>
          <w:rFonts w:ascii="宋体" w:hAnsi="宋体" w:eastAsia="宋体" w:cs="宋体"/>
          <w:spacing w:val="2"/>
          <w:sz w:val="28"/>
          <w:szCs w:val="28"/>
        </w:rPr>
        <w:t>秘书处对理事会负责，对资产履行以下管理职责：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(一)、执行理事会制定的投资战略、具体规定及其它有关决议；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(二)、执行年度投资计划和资产处置计划，负责相关投资管理和资产处置工作；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(三)、负责对所投资项目的监督和管理；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(四)、负责资产的财务管理与会计核算，依法编制财务会计报表，定期向理事会报告；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(五)、完成理事会授权和交办的其他工作。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第八条   </w:t>
      </w:r>
      <w:r>
        <w:rPr>
          <w:rFonts w:ascii="宋体" w:hAnsi="宋体" w:eastAsia="宋体" w:cs="宋体"/>
          <w:spacing w:val="2"/>
          <w:sz w:val="28"/>
          <w:szCs w:val="28"/>
        </w:rPr>
        <w:t>理事遇有个人利益与本基金会资产利益关联时，不得参与相关事宜的决策；本基金会理事、监事和及其近亲属不得与本基金会有任何资产交易行为。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第九条   </w:t>
      </w:r>
      <w:r>
        <w:rPr>
          <w:rFonts w:ascii="宋体" w:hAnsi="宋体" w:eastAsia="宋体" w:cs="宋体"/>
          <w:spacing w:val="2"/>
          <w:sz w:val="28"/>
          <w:szCs w:val="28"/>
        </w:rPr>
        <w:t>投资资产的管理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（一）</w:t>
      </w:r>
      <w:r>
        <w:rPr>
          <w:rFonts w:ascii="宋体" w:hAnsi="宋体" w:eastAsia="宋体" w:cs="宋体"/>
          <w:spacing w:val="2"/>
          <w:sz w:val="28"/>
          <w:szCs w:val="28"/>
        </w:rPr>
        <w:t>、本基金会可用于投资的资产限于非限定性资产、在投资期间暂不需要拨付的限定性资产；如果捐赠人对捐赠财产能否投资和如何投资有特别约定</w:t>
      </w:r>
      <w:r>
        <w:rPr>
          <w:rFonts w:hint="eastAsia" w:ascii="宋体" w:hAnsi="宋体" w:eastAsia="宋体" w:cs="宋体"/>
          <w:spacing w:val="2"/>
          <w:sz w:val="28"/>
          <w:szCs w:val="28"/>
        </w:rPr>
        <w:t>，</w:t>
      </w:r>
      <w:r>
        <w:rPr>
          <w:rFonts w:ascii="宋体" w:hAnsi="宋体" w:eastAsia="宋体" w:cs="宋体"/>
          <w:spacing w:val="2"/>
          <w:sz w:val="28"/>
          <w:szCs w:val="28"/>
        </w:rPr>
        <w:t>本基金会应遵守该约定；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(二)、本基金会进行委托投资，应当委托银行或者其他金融机构进行；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(三)、本基金会必须保持足够的现金和货币市场基金等流动性较高的资产，以保证待拨捐款按捐赠和资助协议的约定及时、足额划拨；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四)、本基金会禁止从事以下行为：提供担保；借款给非金融机构；在二级市场直接买卖股票；从事可能使本基金会承担无限责任的投资；从事违背本基金会使命、可能损害信誉的投资；国家法律法规禁止的其他投资行为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(五)、投资项目的审批权限规定：参照章程及理事会管理制度执行；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(六)、每个投资项目必须建立专项档案，专人管理，完整保存投资的论证、审批、管理和回收等过程的资料。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第十条   </w:t>
      </w:r>
      <w:r>
        <w:rPr>
          <w:rFonts w:ascii="宋体" w:hAnsi="宋体" w:eastAsia="宋体" w:cs="宋体"/>
          <w:spacing w:val="2"/>
          <w:sz w:val="28"/>
          <w:szCs w:val="28"/>
        </w:rPr>
        <w:t>固定资产的管理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(一)、本基金会固定资产的管理和使用实行统一核算、责任到人、 物尽其用的原则；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二)、本基金会秘书处是固定资产实物管理部门，负责固定资产的日常管理工作，具体包括：编制固定资产目录，设立固定资产卡片，办理固定资产的申购、验收、移交、报废、处置等手续，组织固定资产的清查盘点，定期与财务人员进行固定资产核算，确保固定资产账、卡、物相符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(三)、本基金会固定资产必须每年盘点、作到帐实相符。发现短缺、损坏要查明原因，追究责任，并根据情况责成相关人予以部分或全部赔偿损失，报废及长期闲置的固定资产要按规定及时处理；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(四)、本基金会的固定资产，其他组织和个人不得侵占、挪用或任意调拨；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(五)、固定资产管理人员变动时，必须做好交接工作。</w:t>
      </w:r>
    </w:p>
    <w:p>
      <w:pPr>
        <w:spacing w:line="303" w:lineRule="auto"/>
      </w:pPr>
    </w:p>
    <w:p>
      <w:pPr>
        <w:spacing w:line="303" w:lineRule="auto"/>
      </w:pPr>
    </w:p>
    <w:p>
      <w:pPr>
        <w:numPr>
          <w:ilvl w:val="0"/>
          <w:numId w:val="1"/>
        </w:numPr>
        <w:spacing w:before="91" w:line="220" w:lineRule="auto"/>
        <w:ind w:left="0" w:leftChars="0" w:firstLine="0" w:firstLineChars="0"/>
        <w:jc w:val="center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资产处置</w:t>
      </w:r>
    </w:p>
    <w:p>
      <w:pPr>
        <w:numPr>
          <w:numId w:val="0"/>
        </w:numPr>
        <w:spacing w:before="91" w:line="220" w:lineRule="auto"/>
        <w:ind w:leftChars="0"/>
        <w:jc w:val="both"/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第十一条   </w:t>
      </w:r>
      <w:r>
        <w:rPr>
          <w:rFonts w:ascii="宋体" w:hAnsi="宋体" w:eastAsia="宋体" w:cs="宋体"/>
          <w:spacing w:val="2"/>
          <w:sz w:val="28"/>
          <w:szCs w:val="28"/>
        </w:rPr>
        <w:t>资产的处置实行“集体审查、分级批准、上报备案”的办 法，完善内部控制制度、制衡机制。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第十二条   </w:t>
      </w:r>
      <w:r>
        <w:rPr>
          <w:rFonts w:ascii="宋体" w:hAnsi="宋体" w:eastAsia="宋体" w:cs="宋体"/>
          <w:spacing w:val="2"/>
          <w:sz w:val="28"/>
          <w:szCs w:val="28"/>
        </w:rPr>
        <w:t>秘书处负责资产处置的日常工作。</w:t>
      </w:r>
    </w:p>
    <w:p>
      <w:pPr>
        <w:spacing w:line="360" w:lineRule="auto"/>
        <w:ind w:left="420" w:firstLine="420"/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第十三条   </w:t>
      </w:r>
      <w:r>
        <w:rPr>
          <w:rFonts w:ascii="宋体" w:hAnsi="宋体" w:eastAsia="宋体" w:cs="宋体"/>
          <w:spacing w:val="2"/>
          <w:sz w:val="28"/>
          <w:szCs w:val="28"/>
        </w:rPr>
        <w:t>投资资产损失在50万元人民币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(含50万元)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以上项目的资产处置方案，由理事会及监事会审批。</w:t>
      </w:r>
    </w:p>
    <w:p>
      <w:pPr>
        <w:spacing w:line="133" w:lineRule="exact"/>
      </w:pPr>
    </w:p>
    <w:p>
      <w:pPr>
        <w:sectPr>
          <w:headerReference r:id="rId3" w:type="default"/>
          <w:footerReference r:id="rId4" w:type="default"/>
          <w:pgSz w:w="11906" w:h="16839"/>
          <w:pgMar w:top="998" w:right="735" w:bottom="850" w:left="1000" w:header="283" w:footer="283" w:gutter="0"/>
          <w:cols w:equalWidth="0" w:num="1">
            <w:col w:w="10170"/>
          </w:cols>
        </w:sectPr>
      </w:pPr>
    </w:p>
    <w:p>
      <w:pPr>
        <w:spacing w:line="241" w:lineRule="auto"/>
      </w:pPr>
    </w:p>
    <w:p>
      <w:pPr>
        <w:spacing w:line="241" w:lineRule="auto"/>
      </w:pPr>
    </w:p>
    <w:p>
      <w:pPr>
        <w:spacing w:before="91" w:line="220" w:lineRule="auto"/>
        <w:ind w:left="8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第十四条</w:t>
      </w:r>
    </w:p>
    <w:p>
      <w:pPr>
        <w:spacing w:before="187" w:line="185" w:lineRule="auto"/>
        <w:ind w:left="8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5" w:line="219" w:lineRule="auto"/>
        <w:ind w:left="17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第四章</w:t>
      </w:r>
      <w:r>
        <w:rPr>
          <w:rFonts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管理责任</w:t>
      </w:r>
    </w:p>
    <w:p>
      <w:pPr>
        <w:spacing w:before="188" w:line="219" w:lineRule="auto"/>
        <w:ind w:left="2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所有资产管理以及处置方</w:t>
      </w:r>
      <w:r>
        <w:rPr>
          <w:rFonts w:ascii="宋体" w:hAnsi="宋体" w:eastAsia="宋体" w:cs="宋体"/>
          <w:sz w:val="28"/>
          <w:szCs w:val="28"/>
        </w:rPr>
        <w:t>案应报理事会备案。</w:t>
      </w:r>
    </w:p>
    <w:p>
      <w:pPr>
        <w:spacing w:before="188" w:line="185" w:lineRule="auto"/>
        <w:ind w:left="2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本制度规定由理事会审批的事项，履行本基金会章程规</w:t>
      </w:r>
      <w:r>
        <w:rPr>
          <w:rFonts w:ascii="宋体" w:hAnsi="宋体" w:eastAsia="宋体" w:cs="宋体"/>
          <w:sz w:val="28"/>
          <w:szCs w:val="28"/>
        </w:rPr>
        <w:t>定</w:t>
      </w:r>
    </w:p>
    <w:p>
      <w:pPr>
        <w:sectPr>
          <w:type w:val="continuous"/>
          <w:pgSz w:w="11906" w:h="16839"/>
          <w:pgMar w:top="2083" w:right="735" w:bottom="0" w:left="1000" w:header="851" w:footer="0" w:gutter="0"/>
          <w:cols w:equalWidth="0" w:num="2">
            <w:col w:w="2142" w:space="0"/>
            <w:col w:w="8029"/>
          </w:cols>
        </w:sectPr>
      </w:pPr>
    </w:p>
    <w:p>
      <w:pPr>
        <w:spacing w:before="237" w:line="220" w:lineRule="auto"/>
        <w:ind w:left="431" w:hanging="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的</w:t>
      </w:r>
      <w:r>
        <w:rPr>
          <w:rFonts w:ascii="宋体" w:hAnsi="宋体" w:eastAsia="宋体" w:cs="宋体"/>
          <w:spacing w:val="-5"/>
          <w:sz w:val="28"/>
          <w:szCs w:val="28"/>
        </w:rPr>
        <w:t>决策程序。</w:t>
      </w:r>
    </w:p>
    <w:p>
      <w:pPr>
        <w:spacing w:before="186" w:line="343" w:lineRule="auto"/>
        <w:ind w:left="430" w:right="749" w:firstLine="3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对手续不完备的投资项目或资产处置，由最终审批人员负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主</w:t>
      </w:r>
      <w:r>
        <w:rPr>
          <w:rFonts w:ascii="宋体" w:hAnsi="宋体" w:eastAsia="宋体" w:cs="宋体"/>
          <w:spacing w:val="-3"/>
          <w:sz w:val="28"/>
          <w:szCs w:val="28"/>
        </w:rPr>
        <w:t>要</w:t>
      </w:r>
      <w:r>
        <w:rPr>
          <w:rFonts w:ascii="宋体" w:hAnsi="宋体" w:eastAsia="宋体" w:cs="宋体"/>
          <w:spacing w:val="-2"/>
          <w:sz w:val="28"/>
          <w:szCs w:val="28"/>
        </w:rPr>
        <w:t>责任。</w:t>
      </w:r>
    </w:p>
    <w:p>
      <w:pPr>
        <w:spacing w:before="4" w:line="342" w:lineRule="auto"/>
        <w:ind w:left="432" w:right="746" w:firstLine="3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发生以下行为，对有关责任人员视情节轻重给与警告、或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辞退；造</w:t>
      </w:r>
      <w:r>
        <w:rPr>
          <w:rFonts w:ascii="宋体" w:hAnsi="宋体" w:eastAsia="宋体" w:cs="宋体"/>
          <w:spacing w:val="-2"/>
          <w:sz w:val="28"/>
          <w:szCs w:val="28"/>
        </w:rPr>
        <w:t>成资产损失的，并根据理事会规定进行赔偿；涉嫌犯罪的，移交司法机关处理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</w:p>
    <w:p>
      <w:pPr>
        <w:spacing w:before="1" w:line="222" w:lineRule="auto"/>
        <w:ind w:left="15" w:leftChars="7" w:firstLine="825" w:firstLineChars="2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(</w:t>
      </w:r>
      <w:r>
        <w:rPr>
          <w:rFonts w:ascii="宋体" w:hAnsi="宋体" w:eastAsia="宋体" w:cs="宋体"/>
          <w:spacing w:val="7"/>
          <w:sz w:val="28"/>
          <w:szCs w:val="28"/>
        </w:rPr>
        <w:t>一</w:t>
      </w:r>
      <w:r>
        <w:rPr>
          <w:rFonts w:ascii="宋体" w:hAnsi="宋体" w:eastAsia="宋体" w:cs="宋体"/>
          <w:spacing w:val="5"/>
          <w:sz w:val="28"/>
          <w:szCs w:val="28"/>
        </w:rPr>
        <w:t>)、未经规定程序审批，擅自投资或处置资产；</w:t>
      </w:r>
    </w:p>
    <w:p>
      <w:pPr>
        <w:spacing w:before="183" w:line="223" w:lineRule="auto"/>
        <w:ind w:left="15" w:leftChars="7" w:firstLine="825" w:firstLineChars="2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(二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  <w:r>
        <w:rPr>
          <w:rFonts w:ascii="宋体" w:hAnsi="宋体" w:eastAsia="宋体" w:cs="宋体"/>
          <w:spacing w:val="5"/>
          <w:sz w:val="28"/>
          <w:szCs w:val="28"/>
        </w:rPr>
        <w:t>、以本基金会资产为自己或他人谋取私利；</w:t>
      </w:r>
    </w:p>
    <w:p>
      <w:pPr>
        <w:spacing w:before="183" w:line="223" w:lineRule="auto"/>
        <w:ind w:left="15" w:leftChars="7" w:firstLine="874" w:firstLineChars="2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宋体" w:hAnsi="宋体" w:eastAsia="宋体" w:cs="宋体"/>
          <w:spacing w:val="13"/>
          <w:sz w:val="28"/>
          <w:szCs w:val="28"/>
        </w:rPr>
        <w:t>三)、玩忽职守；</w:t>
      </w:r>
    </w:p>
    <w:p>
      <w:pPr>
        <w:spacing w:before="180" w:line="223" w:lineRule="auto"/>
        <w:ind w:left="15" w:leftChars="7" w:firstLine="814" w:firstLineChars="2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(四)</w:t>
      </w:r>
      <w:r>
        <w:rPr>
          <w:rFonts w:ascii="宋体" w:hAnsi="宋体" w:eastAsia="宋体" w:cs="宋体"/>
          <w:spacing w:val="7"/>
          <w:sz w:val="28"/>
          <w:szCs w:val="28"/>
        </w:rPr>
        <w:t>、</w:t>
      </w:r>
      <w:r>
        <w:rPr>
          <w:rFonts w:ascii="宋体" w:hAnsi="宋体" w:eastAsia="宋体" w:cs="宋体"/>
          <w:spacing w:val="4"/>
          <w:sz w:val="28"/>
          <w:szCs w:val="28"/>
        </w:rPr>
        <w:t>泄漏资产秘密及其他可能损害本基金会信誉的行为；</w:t>
      </w:r>
    </w:p>
    <w:p>
      <w:pPr>
        <w:spacing w:before="182" w:line="223" w:lineRule="auto"/>
        <w:ind w:left="15" w:leftChars="7" w:firstLine="808" w:firstLineChars="2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(五)、其他可能造成资产损失的行为</w:t>
      </w:r>
      <w:r>
        <w:rPr>
          <w:rFonts w:ascii="宋体" w:hAnsi="宋体" w:eastAsia="宋体" w:cs="宋体"/>
          <w:spacing w:val="4"/>
          <w:sz w:val="28"/>
          <w:szCs w:val="28"/>
        </w:rPr>
        <w:t>。</w:t>
      </w:r>
    </w:p>
    <w:p>
      <w:pPr>
        <w:spacing w:before="184" w:line="351" w:lineRule="auto"/>
        <w:ind w:left="428" w:right="749" w:firstLine="377" w:firstLineChars="1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由于国家法律、政策发生重大变化或出现自然灾害等不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可</w:t>
      </w:r>
      <w:bookmarkStart w:id="0" w:name="_GoBack"/>
      <w:bookmarkEnd w:id="0"/>
      <w:r>
        <w:rPr>
          <w:rFonts w:ascii="宋体" w:hAnsi="宋体" w:eastAsia="宋体" w:cs="宋体"/>
          <w:spacing w:val="-1"/>
          <w:sz w:val="28"/>
          <w:szCs w:val="28"/>
        </w:rPr>
        <w:t>抗力原因造成资产损失的</w:t>
      </w:r>
      <w:r>
        <w:rPr>
          <w:rFonts w:ascii="宋体" w:hAnsi="宋体" w:eastAsia="宋体" w:cs="宋体"/>
          <w:sz w:val="28"/>
          <w:szCs w:val="28"/>
        </w:rPr>
        <w:t>，不追究管理人员的责任。</w:t>
      </w:r>
    </w:p>
    <w:p>
      <w:pPr>
        <w:spacing w:line="401" w:lineRule="auto"/>
      </w:pPr>
    </w:p>
    <w:p>
      <w:pPr>
        <w:spacing w:before="91" w:line="219" w:lineRule="auto"/>
        <w:ind w:left="41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五章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则</w:t>
      </w:r>
    </w:p>
    <w:p>
      <w:pPr>
        <w:spacing w:before="187" w:line="343" w:lineRule="auto"/>
        <w:ind w:left="427" w:right="749" w:firstLine="3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本制度未尽事宜，依据《基金会管理条例》和本基金会章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程的规</w:t>
      </w:r>
      <w:r>
        <w:rPr>
          <w:rFonts w:ascii="宋体" w:hAnsi="宋体" w:eastAsia="宋体" w:cs="宋体"/>
          <w:spacing w:val="-1"/>
          <w:sz w:val="28"/>
          <w:szCs w:val="28"/>
        </w:rPr>
        <w:t>定办理。</w:t>
      </w:r>
    </w:p>
    <w:p>
      <w:pPr>
        <w:spacing w:line="360" w:lineRule="auto"/>
        <w:ind w:left="8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  本制</w:t>
      </w:r>
      <w:r>
        <w:rPr>
          <w:rFonts w:ascii="宋体" w:hAnsi="宋体" w:eastAsia="宋体" w:cs="宋体"/>
          <w:sz w:val="28"/>
          <w:szCs w:val="28"/>
        </w:rPr>
        <w:t>度自</w:t>
      </w:r>
      <w:r>
        <w:rPr>
          <w:rFonts w:hint="eastAsia" w:ascii="宋体" w:hAnsi="宋体" w:eastAsia="宋体" w:cs="宋体"/>
          <w:sz w:val="28"/>
          <w:szCs w:val="28"/>
        </w:rPr>
        <w:t>第一届理事会第二次会议通过之日起执行</w:t>
      </w:r>
      <w:r>
        <w:rPr>
          <w:rFonts w:ascii="宋体" w:hAnsi="宋体" w:eastAsia="宋体" w:cs="宋体"/>
          <w:sz w:val="28"/>
          <w:szCs w:val="28"/>
        </w:rPr>
        <w:t>，由理事会负责解释。</w:t>
      </w:r>
    </w:p>
    <w:p>
      <w:pPr>
        <w:spacing w:line="306" w:lineRule="auto"/>
      </w:pPr>
    </w:p>
    <w:p>
      <w:pPr>
        <w:spacing w:line="306" w:lineRule="auto"/>
      </w:pPr>
    </w:p>
    <w:p>
      <w:pPr>
        <w:spacing w:before="91" w:line="352" w:lineRule="auto"/>
        <w:ind w:right="749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上</w:t>
      </w:r>
      <w:r>
        <w:rPr>
          <w:rFonts w:ascii="宋体" w:hAnsi="宋体" w:eastAsia="宋体" w:cs="宋体"/>
          <w:spacing w:val="-1"/>
          <w:sz w:val="28"/>
          <w:szCs w:val="28"/>
        </w:rPr>
        <w:t>海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申江医学科技</w:t>
      </w:r>
      <w:r>
        <w:rPr>
          <w:rFonts w:ascii="宋体" w:hAnsi="宋体" w:eastAsia="宋体" w:cs="宋体"/>
          <w:spacing w:val="-1"/>
          <w:sz w:val="28"/>
          <w:szCs w:val="28"/>
        </w:rPr>
        <w:t>发展基金会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spacing w:before="91" w:line="352" w:lineRule="auto"/>
        <w:ind w:left="7123" w:right="749" w:hanging="77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3"/>
          <w:sz w:val="28"/>
          <w:szCs w:val="28"/>
        </w:rPr>
        <w:t>2</w:t>
      </w:r>
      <w:r>
        <w:rPr>
          <w:rFonts w:ascii="宋体" w:hAnsi="宋体" w:eastAsia="宋体" w:cs="宋体"/>
          <w:spacing w:val="-22"/>
          <w:sz w:val="28"/>
          <w:szCs w:val="28"/>
        </w:rPr>
        <w:t>0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>23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年 6 月 15</w:t>
      </w:r>
      <w:r>
        <w:rPr>
          <w:rFonts w:hint="eastAsia" w:ascii="宋体" w:hAnsi="宋体" w:eastAsia="宋体" w:cs="宋体"/>
          <w:spacing w:val="-22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日</w:t>
      </w:r>
    </w:p>
    <w:p>
      <w:pPr>
        <w:spacing w:line="262" w:lineRule="exact"/>
        <w:ind w:left="2926"/>
        <w:rPr>
          <w:sz w:val="19"/>
          <w:szCs w:val="19"/>
        </w:rPr>
      </w:pPr>
    </w:p>
    <w:sectPr>
      <w:type w:val="continuous"/>
      <w:pgSz w:w="11906" w:h="16839"/>
      <w:pgMar w:top="998" w:right="735" w:bottom="850" w:left="1000" w:header="283" w:footer="283" w:gutter="0"/>
      <w:cols w:equalWidth="0" w:num="1">
        <w:col w:w="10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bottom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before="192" w:after="0" w:afterLines="50" w:line="178" w:lineRule="auto"/>
      <w:jc w:val="center"/>
      <w:textAlignment w:val="baseline"/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28575</wp:posOffset>
          </wp:positionV>
          <wp:extent cx="640715" cy="640715"/>
          <wp:effectExtent l="0" t="0" r="6985" b="698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600000"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FF0000"/>
        <w:spacing w:val="109"/>
        <w:sz w:val="47"/>
        <w:szCs w:val="47"/>
        <w:lang w:val="en-US"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 xml:space="preserve"> </w:t>
    </w:r>
    <w:r>
      <w:rPr>
        <w:rFonts w:ascii="微软雅黑" w:hAnsi="微软雅黑" w:eastAsia="微软雅黑" w:cs="微软雅黑"/>
        <w:color w:val="FF0000"/>
        <w:spacing w:val="109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上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海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申江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医学</w:t>
    </w:r>
    <w:r>
      <w:rPr>
        <w:rFonts w:hint="eastAsia" w:ascii="微软雅黑" w:hAnsi="微软雅黑" w:eastAsia="微软雅黑" w:cs="微软雅黑"/>
        <w:color w:val="FF0000"/>
        <w:spacing w:val="104"/>
        <w:sz w:val="40"/>
        <w:szCs w:val="40"/>
        <w:lang w:eastAsia="zh-CN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科技</w:t>
    </w:r>
    <w:r>
      <w:rPr>
        <w:rFonts w:ascii="微软雅黑" w:hAnsi="微软雅黑" w:eastAsia="微软雅黑" w:cs="微软雅黑"/>
        <w:color w:val="FF0000"/>
        <w:spacing w:val="104"/>
        <w:sz w:val="40"/>
        <w:szCs w:val="40"/>
        <w14:textOutline w14:w="6350" w14:cap="flat" w14:cmpd="sng">
          <w14:solidFill>
            <w14:srgbClr w14:val="FF0000"/>
          </w14:solidFill>
          <w14:prstDash w14:val="solid"/>
          <w14:miter w14:val="0"/>
        </w14:textOutline>
      </w:rPr>
      <w:t>发展基金会</w:t>
    </w:r>
  </w:p>
  <w:p>
    <w:pPr>
      <w:pBdr>
        <w:bottom w:val="thinThickMediumGap" w:color="008000" w:sz="18" w:space="0"/>
      </w:pBdr>
      <w:bidi w:val="0"/>
      <w:ind w:firstLine="1446" w:firstLineChars="600"/>
      <w:jc w:val="both"/>
      <w:rPr>
        <w:rFonts w:hint="eastAsia" w:eastAsia="宋体"/>
        <w:b/>
        <w:bCs/>
        <w:color w:val="4F6228" w:themeColor="accent3" w:themeShade="80"/>
        <w:sz w:val="24"/>
        <w:szCs w:val="24"/>
        <w:u w:val="none"/>
        <w:lang w:val="en-US" w:eastAsia="zh-CN"/>
      </w:rPr>
    </w:pPr>
    <w:r>
      <w:rPr>
        <w:rFonts w:hint="eastAsia" w:eastAsia="宋体"/>
        <w:b/>
        <w:bCs/>
        <w:color w:val="4F6228" w:themeColor="accent3" w:themeShade="80"/>
        <w:sz w:val="24"/>
        <w:szCs w:val="24"/>
        <w:u w:val="none"/>
        <w:lang w:val="en-US" w:eastAsia="zh-CN"/>
      </w:rPr>
      <w:t>Shanghai Shenjiang Medical Technology Development Foundation</w:t>
    </w:r>
  </w:p>
  <w:p>
    <w:pPr>
      <w:pBdr>
        <w:bottom w:val="thinThickMediumGap" w:color="008000" w:sz="18" w:space="0"/>
      </w:pBdr>
      <w:jc w:val="both"/>
      <w:rPr>
        <w:sz w:val="31"/>
        <w:szCs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2E3A6"/>
    <w:multiLevelType w:val="singleLevel"/>
    <w:tmpl w:val="60E2E3A6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E3N2FjNjdkNjg2YjM5Y2NiMzM4NDRjYTg3MjY2NWYifQ=="/>
  </w:docVars>
  <w:rsids>
    <w:rsidRoot w:val="007C035F"/>
    <w:rsid w:val="000228CB"/>
    <w:rsid w:val="00782C04"/>
    <w:rsid w:val="007C035F"/>
    <w:rsid w:val="00BC4E70"/>
    <w:rsid w:val="00FD3431"/>
    <w:rsid w:val="1BEC69A5"/>
    <w:rsid w:val="1FDC7B1D"/>
    <w:rsid w:val="2BF36F7E"/>
    <w:rsid w:val="35D839C8"/>
    <w:rsid w:val="5AF12490"/>
    <w:rsid w:val="6A4E69F6"/>
    <w:rsid w:val="6F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1919</Words>
  <Characters>1925</Characters>
  <Lines>14</Lines>
  <Paragraphs>4</Paragraphs>
  <TotalTime>3</TotalTime>
  <ScaleCrop>false</ScaleCrop>
  <LinksUpToDate>false</LinksUpToDate>
  <CharactersWithSpaces>2011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2020-09-15T10:03:00Z</dcterms:created>
  <dc:creator>sony</dc:creator>
  <cp:lastModifiedBy>刘新杰</cp:lastModifiedBy>
  <dcterms:modified xsi:type="dcterms:W3CDTF">2023-06-12T13:33:13Z</dcterms:modified>
  <dc:title>MANAGEMENT TRAINING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2023-05-23T17:12:05Z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F1A18916CC934D089A85E2EE749A8E03_12</vt:lpwstr>
  </property>
</Properties>
</file>