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18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bookmarkStart w:id="0" w:name="_GoBack"/>
      <w:bookmarkEnd w:id="0"/>
      <w:r>
        <w:rPr>
          <w:rFonts w:hint="eastAsia" w:ascii="黑体" w:hAnsi="黑体" w:eastAsia="黑体" w:cs="黑体"/>
          <w:sz w:val="28"/>
          <w:szCs w:val="28"/>
        </w:rPr>
        <w:t>上海申江医学科技发展基金会</w:t>
      </w:r>
    </w:p>
    <w:p w14:paraId="4F55D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学术活动专家劳务费支付标准</w:t>
      </w:r>
    </w:p>
    <w:p w14:paraId="2F217F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一、目的</w:t>
      </w:r>
    </w:p>
    <w:p w14:paraId="12B74A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为加强</w:t>
      </w:r>
      <w:r>
        <w:rPr>
          <w:rFonts w:hint="eastAsia" w:ascii="仿宋" w:hAnsi="仿宋" w:eastAsia="仿宋" w:cs="仿宋"/>
          <w:sz w:val="28"/>
          <w:szCs w:val="28"/>
          <w:lang w:val="en-US" w:eastAsia="zh-CN"/>
        </w:rPr>
        <w:t>上海申江医学科技发展基金会（以下简称“本基金会”）各类学术活动之专家劳务费管理，</w:t>
      </w:r>
      <w:r>
        <w:rPr>
          <w:rFonts w:hint="eastAsia" w:ascii="仿宋" w:hAnsi="仿宋" w:eastAsia="仿宋" w:cs="仿宋"/>
          <w:sz w:val="28"/>
          <w:szCs w:val="28"/>
        </w:rPr>
        <w:t>确保财务合规</w:t>
      </w:r>
      <w:r>
        <w:rPr>
          <w:rFonts w:hint="eastAsia" w:ascii="仿宋" w:hAnsi="仿宋" w:eastAsia="仿宋" w:cs="仿宋"/>
          <w:sz w:val="28"/>
          <w:szCs w:val="28"/>
          <w:lang w:eastAsia="zh-CN"/>
        </w:rPr>
        <w:t>、</w:t>
      </w:r>
      <w:r>
        <w:rPr>
          <w:rFonts w:hint="eastAsia" w:ascii="仿宋" w:hAnsi="仿宋" w:eastAsia="仿宋" w:cs="仿宋"/>
          <w:sz w:val="28"/>
          <w:szCs w:val="28"/>
        </w:rPr>
        <w:t>有效控制成本，同时保障项目参与者的基本权益，特制定本规定。</w:t>
      </w:r>
    </w:p>
    <w:p w14:paraId="2303D3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lang w:val="en-US" w:eastAsia="zh-CN"/>
        </w:rPr>
        <w:t>二．专家</w:t>
      </w:r>
      <w:r>
        <w:rPr>
          <w:rFonts w:hint="eastAsia" w:ascii="黑体" w:hAnsi="黑体" w:eastAsia="黑体" w:cs="黑体"/>
          <w:sz w:val="28"/>
          <w:szCs w:val="28"/>
        </w:rPr>
        <w:t>劳务费支付原则</w:t>
      </w:r>
    </w:p>
    <w:p w14:paraId="0FFAE3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预算管理原则：凡项目均应做收支预算，按预算中列支专款专用，无特殊情况坚持不调增原则。</w:t>
      </w:r>
    </w:p>
    <w:p w14:paraId="196151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宗旨导向原则：所有费用支出应紧密围绕</w:t>
      </w:r>
      <w:r>
        <w:rPr>
          <w:rFonts w:hint="eastAsia" w:ascii="仿宋" w:hAnsi="仿宋" w:eastAsia="仿宋" w:cs="仿宋"/>
          <w:sz w:val="28"/>
          <w:szCs w:val="28"/>
          <w:lang w:val="en-US" w:eastAsia="zh-CN"/>
        </w:rPr>
        <w:t>本基金会</w:t>
      </w:r>
      <w:r>
        <w:rPr>
          <w:rFonts w:hint="eastAsia" w:ascii="仿宋" w:hAnsi="仿宋" w:eastAsia="仿宋" w:cs="仿宋"/>
          <w:sz w:val="28"/>
          <w:szCs w:val="28"/>
        </w:rPr>
        <w:t>宗旨，确保每笔费用的开支服务于</w:t>
      </w:r>
      <w:r>
        <w:rPr>
          <w:rFonts w:hint="eastAsia" w:ascii="仿宋" w:hAnsi="仿宋" w:eastAsia="仿宋" w:cs="仿宋"/>
          <w:sz w:val="28"/>
          <w:szCs w:val="28"/>
          <w:lang w:val="en-US" w:eastAsia="zh-CN"/>
        </w:rPr>
        <w:t>本基金会</w:t>
      </w:r>
      <w:r>
        <w:rPr>
          <w:rFonts w:hint="eastAsia" w:ascii="仿宋" w:hAnsi="仿宋" w:eastAsia="仿宋" w:cs="仿宋"/>
          <w:sz w:val="28"/>
          <w:szCs w:val="28"/>
        </w:rPr>
        <w:t>的业务活动。</w:t>
      </w:r>
    </w:p>
    <w:p w14:paraId="016971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支付标准原则：</w:t>
      </w:r>
      <w:r>
        <w:rPr>
          <w:rFonts w:hint="eastAsia" w:ascii="仿宋" w:hAnsi="仿宋" w:eastAsia="仿宋" w:cs="仿宋"/>
          <w:sz w:val="28"/>
          <w:szCs w:val="28"/>
          <w:lang w:val="en-US" w:eastAsia="zh-CN"/>
        </w:rPr>
        <w:t>专家劳务费</w:t>
      </w:r>
      <w:r>
        <w:rPr>
          <w:rFonts w:hint="eastAsia" w:ascii="仿宋" w:hAnsi="仿宋" w:eastAsia="仿宋" w:cs="仿宋"/>
          <w:sz w:val="28"/>
          <w:szCs w:val="28"/>
        </w:rPr>
        <w:t>支付标准</w:t>
      </w:r>
      <w:r>
        <w:rPr>
          <w:rFonts w:hint="eastAsia" w:ascii="仿宋" w:hAnsi="仿宋" w:eastAsia="仿宋" w:cs="仿宋"/>
          <w:sz w:val="28"/>
          <w:szCs w:val="28"/>
          <w:lang w:val="en-US" w:eastAsia="zh-CN"/>
        </w:rPr>
        <w:t>原则上</w:t>
      </w:r>
      <w:r>
        <w:rPr>
          <w:rFonts w:hint="eastAsia" w:ascii="仿宋" w:hAnsi="仿宋" w:eastAsia="仿宋" w:cs="仿宋"/>
          <w:sz w:val="28"/>
          <w:szCs w:val="28"/>
        </w:rPr>
        <w:t>设定上限，以防止不必要的开支，同时设定下限以确保专家的合理劳动报酬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体现对专家贡献的尊重。</w:t>
      </w:r>
    </w:p>
    <w:p w14:paraId="06F9A5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w:t>
      </w:r>
      <w:r>
        <w:rPr>
          <w:rFonts w:hint="eastAsia" w:ascii="黑体" w:hAnsi="黑体" w:eastAsia="黑体" w:cs="黑体"/>
          <w:sz w:val="28"/>
          <w:szCs w:val="28"/>
          <w:lang w:val="en-US" w:eastAsia="zh-CN"/>
        </w:rPr>
        <w:t>专家劳务费支付</w:t>
      </w:r>
      <w:r>
        <w:rPr>
          <w:rFonts w:hint="eastAsia" w:ascii="黑体" w:hAnsi="黑体" w:eastAsia="黑体" w:cs="黑体"/>
          <w:sz w:val="28"/>
          <w:szCs w:val="28"/>
        </w:rPr>
        <w:t>标准（税后）</w:t>
      </w:r>
    </w:p>
    <w:p w14:paraId="2FA652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临时外聘专家咨询、讲课、审稿、评审、服务等劳务所发生的费用，从专家劳务费列支，并计入项目直接成本。本规定不包含临时参与项目实施及管理的工作人员。</w:t>
      </w:r>
    </w:p>
    <w:p w14:paraId="7CD197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 筹备劳务费是指为项目能顺利进行，由筹备组所组织的学术内容策划、会议日程安排等筹备活动所付出的劳动报酬，按工作天数，根据筹备活动的复杂程度和工作量，每人每天500~1000元人民币</w:t>
      </w:r>
      <w:r>
        <w:rPr>
          <w:rFonts w:hint="eastAsia" w:ascii="仿宋" w:hAnsi="仿宋" w:eastAsia="仿宋" w:cs="仿宋"/>
          <w:sz w:val="28"/>
          <w:szCs w:val="28"/>
          <w:lang w:eastAsia="zh-CN"/>
        </w:rPr>
        <w:t>。</w:t>
      </w:r>
    </w:p>
    <w:p w14:paraId="37FE7A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审稿劳务费是指对稿件审核并提出录用与否及修改意见所付出的劳动报酬，集中审稿按所审天数支付，每人每</w:t>
      </w:r>
      <w:r>
        <w:rPr>
          <w:rFonts w:hint="eastAsia" w:ascii="仿宋" w:hAnsi="仿宋" w:eastAsia="仿宋" w:cs="仿宋"/>
          <w:sz w:val="28"/>
          <w:szCs w:val="28"/>
          <w:lang w:val="en-US" w:eastAsia="zh-CN"/>
        </w:rPr>
        <w:t>次</w:t>
      </w:r>
      <w:r>
        <w:rPr>
          <w:rFonts w:hint="eastAsia" w:ascii="仿宋" w:hAnsi="仿宋" w:eastAsia="仿宋" w:cs="仿宋"/>
          <w:sz w:val="28"/>
          <w:szCs w:val="28"/>
        </w:rPr>
        <w:t>800~1000元人民币。</w:t>
      </w:r>
    </w:p>
    <w:p w14:paraId="03FB72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考察劳务费是指为项目进行所用场地、饭店等实地考察的劳务报酬，按每人</w:t>
      </w:r>
      <w:r>
        <w:rPr>
          <w:rFonts w:hint="eastAsia" w:ascii="仿宋" w:hAnsi="仿宋" w:eastAsia="仿宋" w:cs="仿宋"/>
          <w:sz w:val="28"/>
          <w:szCs w:val="28"/>
          <w:lang w:val="en-US" w:eastAsia="zh-CN"/>
        </w:rPr>
        <w:t>不超过2</w:t>
      </w:r>
      <w:r>
        <w:rPr>
          <w:rFonts w:hint="eastAsia" w:ascii="仿宋" w:hAnsi="仿宋" w:eastAsia="仿宋" w:cs="仿宋"/>
          <w:sz w:val="28"/>
          <w:szCs w:val="28"/>
        </w:rPr>
        <w:t>000元人民币标准支付。</w:t>
      </w:r>
    </w:p>
    <w:p w14:paraId="7005A3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评审劳务费是指对各种评比进行的评审活动所付出的劳动报酬。一次按每人</w:t>
      </w:r>
      <w:r>
        <w:rPr>
          <w:rFonts w:hint="eastAsia" w:ascii="仿宋" w:hAnsi="仿宋" w:eastAsia="仿宋" w:cs="仿宋"/>
          <w:sz w:val="28"/>
          <w:szCs w:val="28"/>
          <w:lang w:val="en-US" w:eastAsia="zh-CN"/>
        </w:rPr>
        <w:t>不超过2000</w:t>
      </w:r>
      <w:r>
        <w:rPr>
          <w:rFonts w:hint="eastAsia" w:ascii="仿宋" w:hAnsi="仿宋" w:eastAsia="仿宋" w:cs="仿宋"/>
          <w:sz w:val="28"/>
          <w:szCs w:val="28"/>
        </w:rPr>
        <w:t>元人民币</w:t>
      </w:r>
      <w:r>
        <w:rPr>
          <w:rFonts w:hint="eastAsia" w:ascii="仿宋" w:hAnsi="仿宋" w:eastAsia="仿宋" w:cs="仿宋"/>
          <w:sz w:val="28"/>
          <w:szCs w:val="28"/>
          <w:lang w:val="en-US" w:eastAsia="zh-CN"/>
        </w:rPr>
        <w:t>标准</w:t>
      </w:r>
      <w:r>
        <w:rPr>
          <w:rFonts w:hint="eastAsia" w:ascii="仿宋" w:hAnsi="仿宋" w:eastAsia="仿宋" w:cs="仿宋"/>
          <w:sz w:val="28"/>
          <w:szCs w:val="28"/>
        </w:rPr>
        <w:t>支付。</w:t>
      </w:r>
    </w:p>
    <w:p w14:paraId="0A6F63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6. 讲课费标准：</w:t>
      </w:r>
    </w:p>
    <w:p w14:paraId="6D904B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大会主席主旨报告、院士报告≤5000元/人/次；</w:t>
      </w:r>
    </w:p>
    <w:p w14:paraId="27E3CD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特邀大会报告≤3000元/人/次；</w:t>
      </w:r>
    </w:p>
    <w:p w14:paraId="52E2B4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境内专家报告≤2000元/人/次；</w:t>
      </w:r>
    </w:p>
    <w:p w14:paraId="60E9B8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境外专家报告≤1000美金/人次；</w:t>
      </w:r>
    </w:p>
    <w:p w14:paraId="4CEC14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学术活动主持≤2000元/人/次；</w:t>
      </w:r>
    </w:p>
    <w:p w14:paraId="165756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讨论、点评≤1500元/人/次。</w:t>
      </w:r>
    </w:p>
    <w:p w14:paraId="6654DD4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执行与监督</w:t>
      </w:r>
    </w:p>
    <w:p w14:paraId="2DF993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本基金会将严格执行以上支付原则与标准，定期对支付情况进行</w:t>
      </w:r>
    </w:p>
    <w:p w14:paraId="7499C9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审计与评估，确保财务透明与合规。同时，欢迎社会各界监督，共同 维护本基金会的良好形象与公信力。</w:t>
      </w:r>
    </w:p>
    <w:p w14:paraId="6DF09E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rPr>
        <w:t>附则</w:t>
      </w:r>
    </w:p>
    <w:p w14:paraId="70B7CB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本规定自</w:t>
      </w:r>
      <w:r>
        <w:rPr>
          <w:rFonts w:hint="eastAsia" w:ascii="仿宋" w:hAnsi="仿宋" w:eastAsia="仿宋" w:cs="仿宋"/>
          <w:sz w:val="28"/>
          <w:szCs w:val="28"/>
          <w:highlight w:val="none"/>
        </w:rPr>
        <w:t>发布之日</w:t>
      </w:r>
      <w:r>
        <w:rPr>
          <w:rFonts w:hint="eastAsia" w:ascii="仿宋" w:hAnsi="仿宋" w:eastAsia="仿宋" w:cs="仿宋"/>
          <w:sz w:val="28"/>
          <w:szCs w:val="28"/>
        </w:rPr>
        <w:t>起生效，解释权归上海申江医学科技发展基金会所有。</w:t>
      </w:r>
    </w:p>
    <w:p w14:paraId="433C511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黑体" w:hAnsi="黑体" w:eastAsia="黑体" w:cs="黑体"/>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D3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65250">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165250">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0F89">
    <w:pPr>
      <w:pStyle w:val="4"/>
    </w:pPr>
    <w:r>
      <w:rPr>
        <w:rFonts w:hint="eastAsia" w:eastAsia="宋体"/>
        <w:lang w:eastAsia="zh-CN"/>
      </w:rPr>
      <w:drawing>
        <wp:anchor distT="0" distB="0" distL="114300" distR="114300" simplePos="0" relativeHeight="251660288" behindDoc="0" locked="0" layoutInCell="1" allowOverlap="1">
          <wp:simplePos x="0" y="0"/>
          <wp:positionH relativeFrom="column">
            <wp:posOffset>-108585</wp:posOffset>
          </wp:positionH>
          <wp:positionV relativeFrom="paragraph">
            <wp:posOffset>-468630</wp:posOffset>
          </wp:positionV>
          <wp:extent cx="5518150" cy="777240"/>
          <wp:effectExtent l="0" t="0" r="19050" b="10160"/>
          <wp:wrapNone/>
          <wp:docPr id="2" name="图片 2" descr="基金会抬头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基金会抬头信息"/>
                  <pic:cNvPicPr>
                    <a:picLocks noChangeAspect="1"/>
                  </pic:cNvPicPr>
                </pic:nvPicPr>
                <pic:blipFill>
                  <a:blip r:embed="rId1"/>
                  <a:stretch>
                    <a:fillRect/>
                  </a:stretch>
                </pic:blipFill>
                <pic:spPr>
                  <a:xfrm>
                    <a:off x="0" y="0"/>
                    <a:ext cx="5518150" cy="7772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B300"/>
    <w:multiLevelType w:val="singleLevel"/>
    <w:tmpl w:val="3FEAB3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8671"/>
    <w:rsid w:val="128630A1"/>
    <w:rsid w:val="5ADF8B7B"/>
    <w:rsid w:val="63B76BC4"/>
    <w:rsid w:val="75C78671"/>
    <w:rsid w:val="764F3610"/>
    <w:rsid w:val="7FE5C3FD"/>
    <w:rsid w:val="BFFF2A95"/>
    <w:rsid w:val="C5B71921"/>
    <w:rsid w:val="ED6B511F"/>
    <w:rsid w:val="EF7F2CF6"/>
    <w:rsid w:val="FBE86AD1"/>
    <w:rsid w:val="FE7C4CFD"/>
    <w:rsid w:val="FF4DFC6A"/>
    <w:rsid w:val="FFFBA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809</Words>
  <Characters>855</Characters>
  <Lines>0</Lines>
  <Paragraphs>0</Paragraphs>
  <TotalTime>10</TotalTime>
  <ScaleCrop>false</ScaleCrop>
  <LinksUpToDate>false</LinksUpToDate>
  <CharactersWithSpaces>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2024-10-11T01:25:00Z</dcterms:created>
  <dc:creator>zouzouhanxiang</dc:creator>
  <cp:lastModifiedBy>zouhanxiang</cp:lastModifiedBy>
  <dcterms:modified xsi:type="dcterms:W3CDTF">2025-01-02T03:56:22Z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BB4AF0990150469FB58E1DBF4FA0EF79_13</vt:lpwstr>
  </property>
</Properties>
</file>